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A24" w14:textId="77777777" w:rsidR="00720185" w:rsidRDefault="000257DD" w:rsidP="00D10056">
      <w:pPr>
        <w:spacing w:after="0" w:line="259" w:lineRule="auto"/>
        <w:ind w:left="0" w:firstLine="0"/>
        <w:jc w:val="left"/>
      </w:pPr>
      <w:r>
        <w:rPr>
          <w:b/>
          <w:sz w:val="32"/>
        </w:rPr>
        <w:t xml:space="preserve">Procedures for APSIPA ASC Organizer Application and Approval </w:t>
      </w:r>
    </w:p>
    <w:p w14:paraId="6CCA39CD" w14:textId="16F661FF" w:rsidR="00720185" w:rsidRDefault="000257DD">
      <w:pPr>
        <w:ind w:left="-5"/>
      </w:pPr>
      <w:r w:rsidRPr="00A41399">
        <w:rPr>
          <w:highlight w:val="yellow"/>
        </w:rPr>
        <w:t>Revision 3.</w:t>
      </w:r>
      <w:r w:rsidR="00DC6C65">
        <w:rPr>
          <w:highlight w:val="yellow"/>
        </w:rPr>
        <w:t>3</w:t>
      </w:r>
      <w:r w:rsidRPr="00A41399">
        <w:rPr>
          <w:highlight w:val="yellow"/>
        </w:rPr>
        <w:t>, 31 May 202</w:t>
      </w:r>
      <w:r w:rsidR="00DC6C65">
        <w:rPr>
          <w:highlight w:val="yellow"/>
        </w:rPr>
        <w:t>6</w:t>
      </w:r>
      <w:r>
        <w:t xml:space="preserve"> </w:t>
      </w:r>
    </w:p>
    <w:p w14:paraId="25186C8E" w14:textId="77777777" w:rsidR="00720185" w:rsidRDefault="000257DD">
      <w:pPr>
        <w:spacing w:after="0" w:line="259" w:lineRule="auto"/>
        <w:ind w:left="0" w:firstLine="0"/>
        <w:jc w:val="left"/>
      </w:pPr>
      <w:r>
        <w:t xml:space="preserve"> </w:t>
      </w:r>
    </w:p>
    <w:p w14:paraId="0311A318" w14:textId="77777777" w:rsidR="00D44C7E" w:rsidRDefault="000C32C9">
      <w:pPr>
        <w:ind w:left="-5"/>
      </w:pPr>
      <w:r w:rsidRPr="000C32C9">
        <w:t>Founded in 2009, the Asia-Pacific Signal and Information Processing Association (APSIPA) has been dedicated to promoting research and education in signal processing, information technology, and communications. The APSIPA Annual Summit and Conference (APSIPA</w:t>
      </w:r>
      <w:r>
        <w:rPr>
          <w:rFonts w:eastAsiaTheme="minorEastAsia" w:hint="eastAsia"/>
          <w:lang w:eastAsia="zh-CN"/>
        </w:rPr>
        <w:t xml:space="preserve"> </w:t>
      </w:r>
      <w:r w:rsidRPr="000C32C9">
        <w:t xml:space="preserve">ASC) welcomes contributions across all aspects of signal and information processing, including theories, algorithms, systems, implementations, and applications. All accepted papers will be indexed in EI </w:t>
      </w:r>
      <w:proofErr w:type="spellStart"/>
      <w:r w:rsidRPr="000C32C9">
        <w:t>Compendex</w:t>
      </w:r>
      <w:proofErr w:type="spellEnd"/>
      <w:r w:rsidRPr="000C32C9">
        <w:t xml:space="preserve"> and archived in IEEE Xplore. </w:t>
      </w:r>
    </w:p>
    <w:p w14:paraId="638F6855" w14:textId="77777777" w:rsidR="00D44C7E" w:rsidRDefault="00D44C7E">
      <w:pPr>
        <w:ind w:left="-5"/>
      </w:pPr>
    </w:p>
    <w:p w14:paraId="13AE8612" w14:textId="3D8C60C6" w:rsidR="00DF5114" w:rsidRPr="00DF5114" w:rsidRDefault="00DF5114" w:rsidP="00DF5114">
      <w:pPr>
        <w:rPr>
          <w:sz w:val="28"/>
          <w:szCs w:val="28"/>
        </w:rPr>
      </w:pPr>
      <w:r>
        <w:rPr>
          <w:b/>
          <w:bCs/>
          <w:sz w:val="28"/>
          <w:szCs w:val="28"/>
        </w:rPr>
        <w:t xml:space="preserve">1. </w:t>
      </w:r>
      <w:r w:rsidRPr="00DF5114">
        <w:rPr>
          <w:b/>
          <w:bCs/>
          <w:sz w:val="28"/>
          <w:szCs w:val="28"/>
        </w:rPr>
        <w:t>Technical Program Areas</w:t>
      </w:r>
      <w:r w:rsidRPr="00DF5114">
        <w:rPr>
          <w:b/>
          <w:bCs/>
          <w:sz w:val="28"/>
          <w:szCs w:val="28"/>
        </w:rPr>
        <w:t xml:space="preserve">  </w:t>
      </w:r>
      <w:r w:rsidRPr="00DF5114">
        <w:rPr>
          <w:sz w:val="28"/>
          <w:szCs w:val="28"/>
        </w:rPr>
        <w:t xml:space="preserve">  </w:t>
      </w:r>
    </w:p>
    <w:p w14:paraId="63E99964" w14:textId="77777777" w:rsidR="00DF5114" w:rsidRDefault="00DF5114">
      <w:pPr>
        <w:ind w:left="-5"/>
      </w:pPr>
    </w:p>
    <w:p w14:paraId="35093976" w14:textId="15063A61" w:rsidR="00720185" w:rsidRDefault="00C330ED">
      <w:pPr>
        <w:ind w:left="-5"/>
      </w:pPr>
      <w:r w:rsidRPr="00C330ED">
        <w:t>The technical program includes, but is not limited to, the following areas (</w:t>
      </w:r>
      <w:r w:rsidR="00D44C7E">
        <w:t>listed</w:t>
      </w:r>
      <w:r w:rsidRPr="00C330ED">
        <w:t xml:space="preserve"> </w:t>
      </w:r>
      <w:r w:rsidR="00D44C7E">
        <w:rPr>
          <w:rFonts w:eastAsiaTheme="minorEastAsia"/>
          <w:lang w:eastAsia="zh-CN"/>
        </w:rPr>
        <w:t>a</w:t>
      </w:r>
      <w:r w:rsidRPr="00C330ED">
        <w:t>lphabetical</w:t>
      </w:r>
      <w:r w:rsidR="00D44C7E">
        <w:t>ly</w:t>
      </w:r>
      <w:r w:rsidRPr="00C330ED">
        <w:t>):</w:t>
      </w:r>
    </w:p>
    <w:p w14:paraId="3DEE2E59" w14:textId="77777777" w:rsidR="00720185" w:rsidRPr="005B29AE" w:rsidRDefault="000257DD">
      <w:pPr>
        <w:spacing w:after="0" w:line="259" w:lineRule="auto"/>
        <w:ind w:left="0" w:firstLine="0"/>
        <w:jc w:val="left"/>
        <w:rPr>
          <w:rFonts w:eastAsiaTheme="minorEastAsia"/>
          <w:lang w:eastAsia="zh-CN"/>
        </w:rPr>
      </w:pPr>
      <w:r>
        <w:t xml:space="preserve"> </w:t>
      </w:r>
    </w:p>
    <w:p w14:paraId="0BF60E55" w14:textId="330B0316" w:rsidR="00BC5F39" w:rsidRDefault="00BC5F39" w:rsidP="00751C2C">
      <w:pPr>
        <w:pStyle w:val="ListParagraph"/>
        <w:numPr>
          <w:ilvl w:val="0"/>
          <w:numId w:val="3"/>
        </w:numPr>
        <w:tabs>
          <w:tab w:val="center" w:pos="3404"/>
        </w:tabs>
        <w:rPr>
          <w:rFonts w:eastAsiaTheme="minorEastAsia"/>
          <w:lang w:eastAsia="zh-CN"/>
        </w:rPr>
      </w:pPr>
      <w:r>
        <w:t xml:space="preserve">Biomedical Signal Processing and Systems </w:t>
      </w:r>
    </w:p>
    <w:p w14:paraId="3B7C7587" w14:textId="30B5A146" w:rsidR="00BC5F39" w:rsidRDefault="00BC5F39" w:rsidP="00751C2C">
      <w:pPr>
        <w:pStyle w:val="ListParagraph"/>
        <w:numPr>
          <w:ilvl w:val="0"/>
          <w:numId w:val="3"/>
        </w:numPr>
        <w:tabs>
          <w:tab w:val="center" w:pos="3404"/>
        </w:tabs>
        <w:rPr>
          <w:rFonts w:eastAsiaTheme="minorEastAsia"/>
          <w:lang w:eastAsia="zh-CN"/>
        </w:rPr>
      </w:pPr>
      <w:r>
        <w:t xml:space="preserve">Data Analytics and Machine Learning </w:t>
      </w:r>
    </w:p>
    <w:p w14:paraId="021262CC" w14:textId="77777777" w:rsidR="00BC5F39" w:rsidRPr="00BC5F39" w:rsidRDefault="00BC5F39" w:rsidP="00751C2C">
      <w:pPr>
        <w:pStyle w:val="ListParagraph"/>
        <w:numPr>
          <w:ilvl w:val="0"/>
          <w:numId w:val="3"/>
        </w:numPr>
        <w:tabs>
          <w:tab w:val="center" w:pos="3743"/>
        </w:tabs>
      </w:pPr>
      <w:r>
        <w:t xml:space="preserve">Deep Learning: Algorithm, Implementations, and Applications </w:t>
      </w:r>
    </w:p>
    <w:p w14:paraId="69C9F6F7" w14:textId="04144E28" w:rsidR="00BC5F39" w:rsidRDefault="00BC5F39" w:rsidP="00751C2C">
      <w:pPr>
        <w:pStyle w:val="ListParagraph"/>
        <w:numPr>
          <w:ilvl w:val="0"/>
          <w:numId w:val="3"/>
        </w:numPr>
        <w:tabs>
          <w:tab w:val="center" w:pos="3743"/>
        </w:tabs>
      </w:pPr>
      <w:r>
        <w:t xml:space="preserve">Human Biometrics and Security Systems </w:t>
      </w:r>
    </w:p>
    <w:p w14:paraId="0DDD6903" w14:textId="48F25D46" w:rsidR="00BC5F39" w:rsidRDefault="00BC5F39" w:rsidP="00751C2C">
      <w:pPr>
        <w:pStyle w:val="ListParagraph"/>
        <w:numPr>
          <w:ilvl w:val="0"/>
          <w:numId w:val="3"/>
        </w:numPr>
        <w:tabs>
          <w:tab w:val="center" w:pos="3404"/>
        </w:tabs>
        <w:rPr>
          <w:rFonts w:eastAsiaTheme="minorEastAsia"/>
          <w:lang w:eastAsia="zh-CN"/>
        </w:rPr>
      </w:pPr>
      <w:r>
        <w:t xml:space="preserve">Image, Video, and Multimedia </w:t>
      </w:r>
    </w:p>
    <w:p w14:paraId="58A800CB" w14:textId="40335253" w:rsidR="00BC5F39" w:rsidRDefault="00BC5F39" w:rsidP="00751C2C">
      <w:pPr>
        <w:pStyle w:val="ListParagraph"/>
        <w:numPr>
          <w:ilvl w:val="0"/>
          <w:numId w:val="3"/>
        </w:numPr>
        <w:tabs>
          <w:tab w:val="center" w:pos="3404"/>
        </w:tabs>
        <w:rPr>
          <w:rFonts w:eastAsiaTheme="minorEastAsia"/>
          <w:lang w:eastAsia="zh-CN"/>
        </w:rPr>
      </w:pPr>
      <w:r>
        <w:t xml:space="preserve">Internet of Things Technology </w:t>
      </w:r>
    </w:p>
    <w:p w14:paraId="0F03CEC7" w14:textId="1EBCEE32" w:rsidR="00BC5F39" w:rsidRDefault="00BC5F39" w:rsidP="00751C2C">
      <w:pPr>
        <w:pStyle w:val="ListParagraph"/>
        <w:numPr>
          <w:ilvl w:val="0"/>
          <w:numId w:val="3"/>
        </w:numPr>
        <w:tabs>
          <w:tab w:val="center" w:pos="3404"/>
        </w:tabs>
        <w:rPr>
          <w:rFonts w:eastAsiaTheme="minorEastAsia"/>
          <w:lang w:eastAsia="zh-CN"/>
        </w:rPr>
      </w:pPr>
      <w:r>
        <w:t>Medical Signal Acquisition, Analysis</w:t>
      </w:r>
      <w:r w:rsidR="00E02AA1">
        <w:t>,</w:t>
      </w:r>
      <w:r>
        <w:t xml:space="preserve"> and Processing </w:t>
      </w:r>
    </w:p>
    <w:p w14:paraId="319CA430" w14:textId="77777777" w:rsidR="00694CF5" w:rsidRDefault="00694CF5" w:rsidP="00751C2C">
      <w:pPr>
        <w:pStyle w:val="ListParagraph"/>
        <w:numPr>
          <w:ilvl w:val="0"/>
          <w:numId w:val="3"/>
        </w:numPr>
        <w:tabs>
          <w:tab w:val="center" w:pos="2401"/>
        </w:tabs>
      </w:pPr>
      <w:r>
        <w:t xml:space="preserve">Multimedia Security and Forensics </w:t>
      </w:r>
    </w:p>
    <w:p w14:paraId="461D29D4" w14:textId="1E1AAB0B" w:rsidR="00BC5F39" w:rsidRDefault="00694CF5" w:rsidP="00751C2C">
      <w:pPr>
        <w:pStyle w:val="ListParagraph"/>
        <w:numPr>
          <w:ilvl w:val="0"/>
          <w:numId w:val="3"/>
        </w:numPr>
        <w:tabs>
          <w:tab w:val="center" w:pos="3404"/>
        </w:tabs>
        <w:rPr>
          <w:rFonts w:eastAsiaTheme="minorEastAsia"/>
          <w:lang w:eastAsia="zh-CN"/>
        </w:rPr>
      </w:pPr>
      <w:r>
        <w:t xml:space="preserve">Speech, Language, and Audio </w:t>
      </w:r>
    </w:p>
    <w:p w14:paraId="7B7ACBF1" w14:textId="12B1C27E" w:rsidR="00694CF5" w:rsidRDefault="00694CF5" w:rsidP="00751C2C">
      <w:pPr>
        <w:pStyle w:val="ListParagraph"/>
        <w:numPr>
          <w:ilvl w:val="0"/>
          <w:numId w:val="3"/>
        </w:numPr>
        <w:tabs>
          <w:tab w:val="center" w:pos="3404"/>
        </w:tabs>
        <w:rPr>
          <w:rFonts w:eastAsiaTheme="minorEastAsia"/>
          <w:lang w:eastAsia="zh-CN"/>
        </w:rPr>
      </w:pPr>
      <w:r>
        <w:t xml:space="preserve">Signal and Information Processing Education </w:t>
      </w:r>
    </w:p>
    <w:p w14:paraId="5130511D" w14:textId="03E8954A" w:rsidR="00694CF5" w:rsidRDefault="00694CF5" w:rsidP="00751C2C">
      <w:pPr>
        <w:pStyle w:val="ListParagraph"/>
        <w:numPr>
          <w:ilvl w:val="0"/>
          <w:numId w:val="3"/>
        </w:numPr>
        <w:tabs>
          <w:tab w:val="center" w:pos="3404"/>
        </w:tabs>
        <w:rPr>
          <w:rFonts w:eastAsiaTheme="minorEastAsia"/>
          <w:lang w:eastAsia="zh-CN"/>
        </w:rPr>
      </w:pPr>
      <w:r>
        <w:t xml:space="preserve">Signal and Information Processing for Smart Systems </w:t>
      </w:r>
    </w:p>
    <w:p w14:paraId="31A420DD" w14:textId="008D7F67" w:rsidR="00694CF5" w:rsidRPr="00BC5F39" w:rsidRDefault="00694CF5" w:rsidP="00751C2C">
      <w:pPr>
        <w:pStyle w:val="ListParagraph"/>
        <w:numPr>
          <w:ilvl w:val="0"/>
          <w:numId w:val="3"/>
        </w:numPr>
        <w:tabs>
          <w:tab w:val="center" w:pos="3404"/>
        </w:tabs>
        <w:rPr>
          <w:rFonts w:eastAsiaTheme="minorEastAsia"/>
          <w:lang w:eastAsia="zh-CN"/>
        </w:rPr>
      </w:pPr>
      <w:r>
        <w:t xml:space="preserve">Signal and Information Theory and Methods </w:t>
      </w:r>
    </w:p>
    <w:p w14:paraId="796F0820" w14:textId="77777777" w:rsidR="00694CF5" w:rsidRPr="00694CF5" w:rsidRDefault="000257DD" w:rsidP="00751C2C">
      <w:pPr>
        <w:pStyle w:val="ListParagraph"/>
        <w:numPr>
          <w:ilvl w:val="0"/>
          <w:numId w:val="3"/>
        </w:numPr>
        <w:tabs>
          <w:tab w:val="center" w:pos="3404"/>
        </w:tabs>
      </w:pPr>
      <w:r>
        <w:t>Signal Processing Systems: Design and Implementation</w:t>
      </w:r>
    </w:p>
    <w:p w14:paraId="2F789F05" w14:textId="05506CEA" w:rsidR="00720185" w:rsidRDefault="000257DD" w:rsidP="00751C2C">
      <w:pPr>
        <w:pStyle w:val="ListParagraph"/>
        <w:numPr>
          <w:ilvl w:val="0"/>
          <w:numId w:val="3"/>
        </w:numPr>
        <w:tabs>
          <w:tab w:val="center" w:pos="3404"/>
        </w:tabs>
      </w:pPr>
      <w:r>
        <w:t xml:space="preserve">Wireless Communications and Networking </w:t>
      </w:r>
    </w:p>
    <w:p w14:paraId="649A3098" w14:textId="19A60F9D" w:rsidR="00720185" w:rsidRPr="00694CF5" w:rsidRDefault="00720185" w:rsidP="00694CF5">
      <w:pPr>
        <w:tabs>
          <w:tab w:val="center" w:pos="3743"/>
        </w:tabs>
        <w:jc w:val="left"/>
        <w:rPr>
          <w:rFonts w:eastAsiaTheme="minorEastAsia"/>
          <w:lang w:eastAsia="zh-CN"/>
        </w:rPr>
      </w:pPr>
    </w:p>
    <w:p w14:paraId="1BE73136" w14:textId="77777777" w:rsidR="00720185" w:rsidRDefault="000257DD">
      <w:pPr>
        <w:spacing w:after="0" w:line="259" w:lineRule="auto"/>
        <w:ind w:left="0" w:firstLine="0"/>
        <w:jc w:val="left"/>
      </w:pPr>
      <w:r>
        <w:t xml:space="preserve"> </w:t>
      </w:r>
    </w:p>
    <w:p w14:paraId="0F579BB1" w14:textId="55E1D662" w:rsidR="00720185" w:rsidRPr="00DF5114" w:rsidRDefault="00DF5114" w:rsidP="00DF5114">
      <w:pPr>
        <w:rPr>
          <w:sz w:val="28"/>
          <w:szCs w:val="28"/>
        </w:rPr>
      </w:pPr>
      <w:r w:rsidRPr="00DF5114">
        <w:rPr>
          <w:b/>
          <w:bCs/>
          <w:sz w:val="28"/>
          <w:szCs w:val="28"/>
        </w:rPr>
        <w:t xml:space="preserve">2. </w:t>
      </w:r>
      <w:r w:rsidR="007A72B1" w:rsidRPr="00DF5114">
        <w:rPr>
          <w:b/>
          <w:bCs/>
          <w:sz w:val="28"/>
          <w:szCs w:val="28"/>
        </w:rPr>
        <w:t xml:space="preserve">Conference Locations  </w:t>
      </w:r>
      <w:r w:rsidR="000257DD" w:rsidRPr="00DF5114">
        <w:rPr>
          <w:sz w:val="28"/>
          <w:szCs w:val="28"/>
        </w:rPr>
        <w:t xml:space="preserve">  </w:t>
      </w:r>
    </w:p>
    <w:p w14:paraId="2EFC9C2F" w14:textId="77777777" w:rsidR="00720185" w:rsidRDefault="000257DD">
      <w:pPr>
        <w:spacing w:after="0" w:line="259" w:lineRule="auto"/>
        <w:ind w:left="0" w:firstLine="0"/>
        <w:jc w:val="left"/>
      </w:pPr>
      <w:r>
        <w:t xml:space="preserve"> </w:t>
      </w:r>
    </w:p>
    <w:tbl>
      <w:tblPr>
        <w:tblStyle w:val="TableGrid"/>
        <w:tblW w:w="0" w:type="auto"/>
        <w:tblInd w:w="-15" w:type="dxa"/>
        <w:tblLook w:val="04A0" w:firstRow="1" w:lastRow="0" w:firstColumn="1" w:lastColumn="0" w:noHBand="0" w:noVBand="1"/>
      </w:tblPr>
      <w:tblGrid>
        <w:gridCol w:w="2704"/>
        <w:gridCol w:w="2976"/>
        <w:gridCol w:w="3675"/>
      </w:tblGrid>
      <w:tr w:rsidR="00BC1F73" w14:paraId="019FAADA" w14:textId="77777777" w:rsidTr="00363926">
        <w:tc>
          <w:tcPr>
            <w:tcW w:w="2704" w:type="dxa"/>
          </w:tcPr>
          <w:p w14:paraId="66786064" w14:textId="15077CCE" w:rsidR="00BC1F73" w:rsidRPr="00561D59" w:rsidRDefault="00BC1F73">
            <w:pPr>
              <w:tabs>
                <w:tab w:val="center" w:pos="1753"/>
                <w:tab w:val="center" w:pos="3120"/>
                <w:tab w:val="center" w:pos="4633"/>
                <w:tab w:val="center" w:pos="6000"/>
                <w:tab w:val="center" w:pos="7513"/>
              </w:tabs>
              <w:ind w:left="0" w:firstLine="0"/>
              <w:jc w:val="left"/>
              <w:rPr>
                <w:rFonts w:eastAsiaTheme="minorEastAsia"/>
                <w:highlight w:val="yellow"/>
                <w:lang w:eastAsia="zh-CN"/>
              </w:rPr>
            </w:pPr>
            <w:r w:rsidRPr="00561D59">
              <w:rPr>
                <w:highlight w:val="yellow"/>
              </w:rPr>
              <w:t>202</w:t>
            </w:r>
            <w:r w:rsidRPr="00561D59">
              <w:rPr>
                <w:rFonts w:eastAsiaTheme="minorEastAsia" w:hint="eastAsia"/>
                <w:highlight w:val="yellow"/>
                <w:lang w:eastAsia="zh-CN"/>
              </w:rPr>
              <w:t>9</w:t>
            </w:r>
            <w:r w:rsidRPr="00561D59">
              <w:rPr>
                <w:highlight w:val="yellow"/>
              </w:rPr>
              <w:t xml:space="preserve">     </w:t>
            </w:r>
            <w:r w:rsidR="00E02AA1">
              <w:rPr>
                <w:highlight w:val="yellow"/>
              </w:rPr>
              <w:t>Open</w:t>
            </w:r>
            <w:r w:rsidRPr="00561D59">
              <w:rPr>
                <w:highlight w:val="yellow"/>
              </w:rPr>
              <w:t xml:space="preserve">        </w:t>
            </w:r>
          </w:p>
        </w:tc>
        <w:tc>
          <w:tcPr>
            <w:tcW w:w="2976" w:type="dxa"/>
          </w:tcPr>
          <w:p w14:paraId="3316C887" w14:textId="10B6C6C5" w:rsidR="00BC1F73" w:rsidRPr="00BC1F73" w:rsidRDefault="00BC1F73">
            <w:pPr>
              <w:tabs>
                <w:tab w:val="center" w:pos="1753"/>
                <w:tab w:val="center" w:pos="3120"/>
                <w:tab w:val="center" w:pos="4633"/>
                <w:tab w:val="center" w:pos="6000"/>
                <w:tab w:val="center" w:pos="7513"/>
              </w:tabs>
              <w:ind w:left="0" w:firstLine="0"/>
              <w:jc w:val="left"/>
              <w:rPr>
                <w:rFonts w:eastAsiaTheme="minorEastAsia"/>
                <w:highlight w:val="yellow"/>
                <w:lang w:eastAsia="zh-CN"/>
              </w:rPr>
            </w:pPr>
            <w:r>
              <w:tab/>
            </w:r>
          </w:p>
        </w:tc>
        <w:tc>
          <w:tcPr>
            <w:tcW w:w="3675" w:type="dxa"/>
          </w:tcPr>
          <w:p w14:paraId="0C17A19D" w14:textId="4EF43401" w:rsidR="00BC1F73" w:rsidRDefault="00BC1F73">
            <w:pPr>
              <w:tabs>
                <w:tab w:val="center" w:pos="1753"/>
                <w:tab w:val="center" w:pos="3120"/>
                <w:tab w:val="center" w:pos="4633"/>
                <w:tab w:val="center" w:pos="6000"/>
                <w:tab w:val="center" w:pos="7513"/>
              </w:tabs>
              <w:ind w:left="0" w:firstLine="0"/>
              <w:jc w:val="left"/>
              <w:rPr>
                <w:rFonts w:eastAsiaTheme="minorEastAsia"/>
                <w:highlight w:val="yellow"/>
                <w:lang w:eastAsia="zh-CN"/>
              </w:rPr>
            </w:pPr>
          </w:p>
        </w:tc>
      </w:tr>
      <w:tr w:rsidR="00363926" w14:paraId="7A66E101" w14:textId="77777777" w:rsidTr="00363926">
        <w:tc>
          <w:tcPr>
            <w:tcW w:w="2704" w:type="dxa"/>
          </w:tcPr>
          <w:p w14:paraId="6EDA4AC9" w14:textId="5B427726" w:rsidR="00363926" w:rsidRPr="00A41399" w:rsidRDefault="00363926" w:rsidP="00363926">
            <w:pPr>
              <w:tabs>
                <w:tab w:val="center" w:pos="1753"/>
                <w:tab w:val="center" w:pos="3120"/>
                <w:tab w:val="center" w:pos="4633"/>
                <w:tab w:val="center" w:pos="6000"/>
                <w:tab w:val="center" w:pos="7513"/>
              </w:tabs>
              <w:ind w:left="0" w:firstLine="0"/>
              <w:jc w:val="left"/>
              <w:rPr>
                <w:rFonts w:eastAsiaTheme="minorEastAsia"/>
                <w:lang w:eastAsia="zh-CN"/>
              </w:rPr>
            </w:pPr>
            <w:r>
              <w:t xml:space="preserve">2028 </w:t>
            </w:r>
            <w:r w:rsidRPr="00A41399">
              <w:rPr>
                <w:color w:val="0F9ED5" w:themeColor="accent4"/>
              </w:rPr>
              <w:t>Xi’an, China</w:t>
            </w:r>
          </w:p>
        </w:tc>
        <w:tc>
          <w:tcPr>
            <w:tcW w:w="2976" w:type="dxa"/>
          </w:tcPr>
          <w:p w14:paraId="4773EBB8" w14:textId="3723705C" w:rsidR="00363926" w:rsidRDefault="00363926" w:rsidP="00363926">
            <w:pPr>
              <w:tabs>
                <w:tab w:val="center" w:pos="1753"/>
                <w:tab w:val="center" w:pos="3120"/>
                <w:tab w:val="center" w:pos="4633"/>
                <w:tab w:val="center" w:pos="6000"/>
                <w:tab w:val="center" w:pos="7513"/>
              </w:tabs>
              <w:ind w:left="0" w:firstLine="0"/>
              <w:jc w:val="left"/>
            </w:pPr>
            <w:r>
              <w:t xml:space="preserve">2027 </w:t>
            </w:r>
            <w:r w:rsidRPr="00A41399">
              <w:rPr>
                <w:color w:val="0F9ED5" w:themeColor="accent4"/>
              </w:rPr>
              <w:t xml:space="preserve">Penang, Malaysia </w:t>
            </w:r>
            <w:r w:rsidRPr="000257DD">
              <w:rPr>
                <w:color w:val="A02B93" w:themeColor="accent5"/>
              </w:rPr>
              <w:tab/>
            </w:r>
          </w:p>
        </w:tc>
        <w:tc>
          <w:tcPr>
            <w:tcW w:w="3675" w:type="dxa"/>
          </w:tcPr>
          <w:p w14:paraId="4526BE7F" w14:textId="6ADDF581" w:rsidR="00363926" w:rsidRDefault="00363926" w:rsidP="00363926">
            <w:pPr>
              <w:tabs>
                <w:tab w:val="center" w:pos="1753"/>
                <w:tab w:val="center" w:pos="3120"/>
                <w:tab w:val="center" w:pos="4633"/>
                <w:tab w:val="center" w:pos="6000"/>
                <w:tab w:val="center" w:pos="7513"/>
              </w:tabs>
              <w:ind w:left="0" w:firstLine="0"/>
              <w:jc w:val="left"/>
            </w:pPr>
            <w:r>
              <w:t xml:space="preserve">2026 </w:t>
            </w:r>
            <w:r w:rsidRPr="00D11B95">
              <w:rPr>
                <w:color w:val="0F9ED5" w:themeColor="accent4"/>
              </w:rPr>
              <w:t xml:space="preserve">Vietnam </w:t>
            </w:r>
          </w:p>
        </w:tc>
      </w:tr>
      <w:tr w:rsidR="00363926" w14:paraId="7625FC5B" w14:textId="77777777" w:rsidTr="00363926">
        <w:tc>
          <w:tcPr>
            <w:tcW w:w="2704" w:type="dxa"/>
          </w:tcPr>
          <w:p w14:paraId="69778891" w14:textId="4FD56710" w:rsidR="00363926" w:rsidRDefault="00363926" w:rsidP="00363926">
            <w:pPr>
              <w:tabs>
                <w:tab w:val="center" w:pos="1753"/>
                <w:tab w:val="center" w:pos="3120"/>
                <w:tab w:val="center" w:pos="4633"/>
                <w:tab w:val="center" w:pos="6000"/>
                <w:tab w:val="center" w:pos="7513"/>
              </w:tabs>
              <w:ind w:left="0" w:firstLine="0"/>
              <w:jc w:val="left"/>
            </w:pPr>
            <w:r>
              <w:t xml:space="preserve">2025 </w:t>
            </w:r>
            <w:r w:rsidRPr="00A41399">
              <w:rPr>
                <w:color w:val="000000" w:themeColor="text1"/>
              </w:rPr>
              <w:t xml:space="preserve">Singapore </w:t>
            </w:r>
          </w:p>
        </w:tc>
        <w:tc>
          <w:tcPr>
            <w:tcW w:w="2976" w:type="dxa"/>
          </w:tcPr>
          <w:p w14:paraId="29BEFF5D" w14:textId="4857B231" w:rsidR="00363926" w:rsidRDefault="00363926" w:rsidP="00363926">
            <w:pPr>
              <w:tabs>
                <w:tab w:val="center" w:pos="1753"/>
                <w:tab w:val="center" w:pos="3120"/>
                <w:tab w:val="center" w:pos="4633"/>
                <w:tab w:val="center" w:pos="6000"/>
                <w:tab w:val="center" w:pos="7513"/>
              </w:tabs>
              <w:ind w:left="0" w:firstLine="0"/>
              <w:jc w:val="left"/>
            </w:pPr>
            <w:r w:rsidRPr="000257DD">
              <w:rPr>
                <w:color w:val="000000" w:themeColor="text1"/>
              </w:rPr>
              <w:t>2024 Macao</w:t>
            </w:r>
            <w:r>
              <w:rPr>
                <w:rFonts w:eastAsiaTheme="minorEastAsia" w:hint="eastAsia"/>
                <w:color w:val="000000" w:themeColor="text1"/>
                <w:lang w:eastAsia="zh-CN"/>
              </w:rPr>
              <w:t>, China</w:t>
            </w:r>
          </w:p>
        </w:tc>
        <w:tc>
          <w:tcPr>
            <w:tcW w:w="3675" w:type="dxa"/>
          </w:tcPr>
          <w:p w14:paraId="1F5760B7" w14:textId="50C60DAD" w:rsidR="00363926" w:rsidRDefault="00363926" w:rsidP="00363926">
            <w:pPr>
              <w:tabs>
                <w:tab w:val="center" w:pos="1753"/>
                <w:tab w:val="center" w:pos="3120"/>
                <w:tab w:val="center" w:pos="4633"/>
                <w:tab w:val="center" w:pos="6000"/>
                <w:tab w:val="center" w:pos="7513"/>
              </w:tabs>
              <w:ind w:left="0" w:firstLine="0"/>
              <w:jc w:val="left"/>
            </w:pPr>
            <w:r w:rsidRPr="000257DD">
              <w:rPr>
                <w:color w:val="000000" w:themeColor="text1"/>
              </w:rPr>
              <w:t>2023 Taipei</w:t>
            </w:r>
            <w:r>
              <w:rPr>
                <w:rFonts w:eastAsiaTheme="minorEastAsia" w:hint="eastAsia"/>
                <w:color w:val="000000" w:themeColor="text1"/>
                <w:lang w:eastAsia="zh-CN"/>
              </w:rPr>
              <w:t>, Taiwan</w:t>
            </w:r>
          </w:p>
        </w:tc>
      </w:tr>
      <w:tr w:rsidR="00363926" w14:paraId="3498435B" w14:textId="77777777" w:rsidTr="00363926">
        <w:tc>
          <w:tcPr>
            <w:tcW w:w="2704" w:type="dxa"/>
          </w:tcPr>
          <w:p w14:paraId="65C9B7C7" w14:textId="6C12CE4B" w:rsidR="00363926" w:rsidRDefault="00363926" w:rsidP="00363926">
            <w:pPr>
              <w:tabs>
                <w:tab w:val="center" w:pos="1753"/>
                <w:tab w:val="center" w:pos="3120"/>
                <w:tab w:val="center" w:pos="4633"/>
                <w:tab w:val="center" w:pos="6000"/>
                <w:tab w:val="center" w:pos="7513"/>
              </w:tabs>
              <w:ind w:left="0" w:firstLine="0"/>
              <w:jc w:val="left"/>
            </w:pPr>
            <w:r>
              <w:t xml:space="preserve">2022 Chiangmai, Thailand       </w:t>
            </w:r>
          </w:p>
        </w:tc>
        <w:tc>
          <w:tcPr>
            <w:tcW w:w="2976" w:type="dxa"/>
          </w:tcPr>
          <w:p w14:paraId="069C4CF9" w14:textId="799D827D" w:rsidR="00363926" w:rsidRDefault="00363926" w:rsidP="00363926">
            <w:pPr>
              <w:tabs>
                <w:tab w:val="center" w:pos="1753"/>
                <w:tab w:val="center" w:pos="3120"/>
                <w:tab w:val="center" w:pos="4633"/>
                <w:tab w:val="center" w:pos="6000"/>
                <w:tab w:val="center" w:pos="7513"/>
              </w:tabs>
              <w:ind w:left="0" w:firstLine="0"/>
              <w:jc w:val="left"/>
            </w:pPr>
            <w:r>
              <w:t xml:space="preserve">2021 Tokyo, Japan  </w:t>
            </w:r>
          </w:p>
        </w:tc>
        <w:tc>
          <w:tcPr>
            <w:tcW w:w="3675" w:type="dxa"/>
          </w:tcPr>
          <w:p w14:paraId="3541B3B7" w14:textId="6DC208FC" w:rsidR="00363926" w:rsidRDefault="00363926" w:rsidP="00363926">
            <w:pPr>
              <w:tabs>
                <w:tab w:val="center" w:pos="1753"/>
                <w:tab w:val="center" w:pos="3120"/>
                <w:tab w:val="center" w:pos="4633"/>
                <w:tab w:val="center" w:pos="6000"/>
                <w:tab w:val="center" w:pos="7513"/>
              </w:tabs>
              <w:ind w:left="0" w:firstLine="0"/>
              <w:jc w:val="left"/>
            </w:pPr>
            <w:r>
              <w:t xml:space="preserve">2020 Auckland, New Zealand </w:t>
            </w:r>
          </w:p>
        </w:tc>
      </w:tr>
      <w:tr w:rsidR="00363926" w14:paraId="3351E93F" w14:textId="77777777" w:rsidTr="00363926">
        <w:tc>
          <w:tcPr>
            <w:tcW w:w="2704" w:type="dxa"/>
          </w:tcPr>
          <w:p w14:paraId="4570D6EA" w14:textId="6A56DBDF" w:rsidR="00363926" w:rsidRDefault="00363926" w:rsidP="00363926">
            <w:pPr>
              <w:tabs>
                <w:tab w:val="center" w:pos="1753"/>
                <w:tab w:val="center" w:pos="3120"/>
                <w:tab w:val="center" w:pos="4633"/>
                <w:tab w:val="center" w:pos="6000"/>
                <w:tab w:val="center" w:pos="7513"/>
              </w:tabs>
              <w:ind w:left="0" w:firstLine="0"/>
              <w:jc w:val="left"/>
            </w:pPr>
            <w:r>
              <w:t xml:space="preserve">2019 Lanzhou, China </w:t>
            </w:r>
          </w:p>
        </w:tc>
        <w:tc>
          <w:tcPr>
            <w:tcW w:w="2976" w:type="dxa"/>
          </w:tcPr>
          <w:p w14:paraId="14F19A77" w14:textId="604D91D1" w:rsidR="00363926" w:rsidRDefault="00363926" w:rsidP="00363926">
            <w:pPr>
              <w:tabs>
                <w:tab w:val="center" w:pos="1753"/>
                <w:tab w:val="center" w:pos="3120"/>
                <w:tab w:val="center" w:pos="4633"/>
                <w:tab w:val="center" w:pos="6000"/>
                <w:tab w:val="center" w:pos="7513"/>
              </w:tabs>
              <w:ind w:left="0" w:firstLine="0"/>
              <w:jc w:val="left"/>
            </w:pPr>
            <w:r w:rsidRPr="002A333E">
              <w:t xml:space="preserve">2018 Hawaii, USA  </w:t>
            </w:r>
          </w:p>
        </w:tc>
        <w:tc>
          <w:tcPr>
            <w:tcW w:w="3675" w:type="dxa"/>
          </w:tcPr>
          <w:p w14:paraId="13BF7756" w14:textId="1AEFED55" w:rsidR="00363926" w:rsidRDefault="00363926" w:rsidP="00363926">
            <w:pPr>
              <w:tabs>
                <w:tab w:val="center" w:pos="1753"/>
                <w:tab w:val="center" w:pos="3120"/>
                <w:tab w:val="center" w:pos="4633"/>
                <w:tab w:val="center" w:pos="6000"/>
                <w:tab w:val="center" w:pos="7513"/>
              </w:tabs>
              <w:ind w:left="0" w:firstLine="0"/>
              <w:jc w:val="left"/>
            </w:pPr>
            <w:r w:rsidRPr="002A333E">
              <w:t xml:space="preserve">2017 Kuala Lumpur, Malaysia </w:t>
            </w:r>
          </w:p>
        </w:tc>
      </w:tr>
      <w:tr w:rsidR="00363926" w14:paraId="614D6074" w14:textId="77777777" w:rsidTr="00363926">
        <w:tc>
          <w:tcPr>
            <w:tcW w:w="2704" w:type="dxa"/>
          </w:tcPr>
          <w:p w14:paraId="1F919D4A" w14:textId="55F0529E" w:rsidR="00363926" w:rsidRDefault="00363926" w:rsidP="00363926">
            <w:pPr>
              <w:tabs>
                <w:tab w:val="center" w:pos="1753"/>
                <w:tab w:val="center" w:pos="3120"/>
                <w:tab w:val="center" w:pos="4633"/>
                <w:tab w:val="center" w:pos="6000"/>
                <w:tab w:val="center" w:pos="7513"/>
              </w:tabs>
              <w:ind w:left="0" w:firstLine="0"/>
              <w:jc w:val="left"/>
            </w:pPr>
            <w:r>
              <w:t xml:space="preserve">2016 Jeju, Korea </w:t>
            </w:r>
          </w:p>
        </w:tc>
        <w:tc>
          <w:tcPr>
            <w:tcW w:w="2976" w:type="dxa"/>
          </w:tcPr>
          <w:p w14:paraId="304BD89B" w14:textId="781548FE" w:rsidR="00363926" w:rsidRDefault="00363926" w:rsidP="00363926">
            <w:pPr>
              <w:tabs>
                <w:tab w:val="center" w:pos="1753"/>
                <w:tab w:val="center" w:pos="3120"/>
                <w:tab w:val="center" w:pos="4633"/>
                <w:tab w:val="center" w:pos="6000"/>
                <w:tab w:val="center" w:pos="7513"/>
              </w:tabs>
              <w:ind w:left="0" w:firstLine="0"/>
              <w:jc w:val="left"/>
            </w:pPr>
            <w:r w:rsidRPr="002A333E">
              <w:t>2015 Hong Kong</w:t>
            </w:r>
            <w:r w:rsidRPr="002A333E">
              <w:rPr>
                <w:rFonts w:eastAsiaTheme="minorEastAsia" w:hint="eastAsia"/>
                <w:lang w:eastAsia="zh-CN"/>
              </w:rPr>
              <w:t>, China</w:t>
            </w:r>
          </w:p>
        </w:tc>
        <w:tc>
          <w:tcPr>
            <w:tcW w:w="3675" w:type="dxa"/>
          </w:tcPr>
          <w:p w14:paraId="68C1790A" w14:textId="44519B74" w:rsidR="00363926" w:rsidRPr="00BC1F73" w:rsidRDefault="00363926" w:rsidP="00363926">
            <w:pPr>
              <w:tabs>
                <w:tab w:val="center" w:pos="2160"/>
                <w:tab w:val="center" w:pos="4149"/>
                <w:tab w:val="center" w:pos="7197"/>
              </w:tabs>
              <w:ind w:left="-15" w:firstLine="0"/>
              <w:jc w:val="left"/>
              <w:rPr>
                <w:rFonts w:eastAsiaTheme="minorEastAsia"/>
                <w:lang w:eastAsia="zh-CN"/>
              </w:rPr>
            </w:pPr>
            <w:r w:rsidRPr="002A333E">
              <w:t xml:space="preserve">2014 Siem Reap, Cambodia </w:t>
            </w:r>
          </w:p>
        </w:tc>
      </w:tr>
      <w:tr w:rsidR="00363926" w14:paraId="43B291BE" w14:textId="77777777" w:rsidTr="00363926">
        <w:tc>
          <w:tcPr>
            <w:tcW w:w="2704" w:type="dxa"/>
          </w:tcPr>
          <w:p w14:paraId="6FCC25AE" w14:textId="251D4053" w:rsidR="00363926" w:rsidRDefault="00363926" w:rsidP="00363926">
            <w:pPr>
              <w:tabs>
                <w:tab w:val="center" w:pos="1753"/>
                <w:tab w:val="center" w:pos="3120"/>
                <w:tab w:val="center" w:pos="4633"/>
                <w:tab w:val="center" w:pos="6000"/>
                <w:tab w:val="center" w:pos="7513"/>
              </w:tabs>
              <w:ind w:left="0" w:firstLine="0"/>
              <w:jc w:val="left"/>
            </w:pPr>
            <w:r>
              <w:t>2013 Kaohsiung</w:t>
            </w:r>
            <w:r>
              <w:rPr>
                <w:rFonts w:eastAsiaTheme="minorEastAsia" w:hint="eastAsia"/>
                <w:lang w:eastAsia="zh-CN"/>
              </w:rPr>
              <w:t>, Taiwan</w:t>
            </w:r>
          </w:p>
        </w:tc>
        <w:tc>
          <w:tcPr>
            <w:tcW w:w="2976" w:type="dxa"/>
          </w:tcPr>
          <w:p w14:paraId="05CE834B" w14:textId="7201BDA3" w:rsidR="00363926" w:rsidRDefault="00363926" w:rsidP="00363926">
            <w:pPr>
              <w:tabs>
                <w:tab w:val="center" w:pos="1753"/>
                <w:tab w:val="center" w:pos="3120"/>
                <w:tab w:val="center" w:pos="4633"/>
                <w:tab w:val="center" w:pos="6000"/>
                <w:tab w:val="center" w:pos="7513"/>
              </w:tabs>
              <w:ind w:left="0" w:firstLine="0"/>
              <w:jc w:val="left"/>
            </w:pPr>
            <w:r w:rsidRPr="002A333E">
              <w:t xml:space="preserve">2012 Los Angeles, USA </w:t>
            </w:r>
          </w:p>
        </w:tc>
        <w:tc>
          <w:tcPr>
            <w:tcW w:w="3675" w:type="dxa"/>
          </w:tcPr>
          <w:p w14:paraId="5E8F8A1E" w14:textId="538DA6D8" w:rsidR="00363926" w:rsidRDefault="00363926" w:rsidP="00363926">
            <w:pPr>
              <w:tabs>
                <w:tab w:val="center" w:pos="2160"/>
                <w:tab w:val="center" w:pos="4149"/>
                <w:tab w:val="center" w:pos="7197"/>
              </w:tabs>
              <w:ind w:left="-15" w:firstLine="0"/>
              <w:jc w:val="left"/>
            </w:pPr>
            <w:r w:rsidRPr="002A333E">
              <w:t xml:space="preserve">2011 Xi’an, China </w:t>
            </w:r>
          </w:p>
        </w:tc>
      </w:tr>
      <w:tr w:rsidR="00363926" w14:paraId="2F3FFC31" w14:textId="77777777" w:rsidTr="00363926">
        <w:tc>
          <w:tcPr>
            <w:tcW w:w="2704" w:type="dxa"/>
          </w:tcPr>
          <w:p w14:paraId="18A8B4D4" w14:textId="38873747" w:rsidR="00363926" w:rsidRDefault="00363926" w:rsidP="00363926">
            <w:pPr>
              <w:tabs>
                <w:tab w:val="center" w:pos="1753"/>
                <w:tab w:val="center" w:pos="3120"/>
                <w:tab w:val="center" w:pos="4633"/>
                <w:tab w:val="center" w:pos="6000"/>
                <w:tab w:val="center" w:pos="7513"/>
              </w:tabs>
              <w:ind w:left="0" w:firstLine="0"/>
              <w:jc w:val="left"/>
            </w:pPr>
            <w:r>
              <w:t xml:space="preserve">2010 Singapore </w:t>
            </w:r>
          </w:p>
        </w:tc>
        <w:tc>
          <w:tcPr>
            <w:tcW w:w="2976" w:type="dxa"/>
          </w:tcPr>
          <w:p w14:paraId="1B2DF645" w14:textId="2C854199" w:rsidR="00363926" w:rsidRDefault="00363926" w:rsidP="00363926">
            <w:pPr>
              <w:tabs>
                <w:tab w:val="center" w:pos="1753"/>
                <w:tab w:val="center" w:pos="3120"/>
                <w:tab w:val="center" w:pos="4633"/>
                <w:tab w:val="center" w:pos="6000"/>
                <w:tab w:val="center" w:pos="7513"/>
              </w:tabs>
              <w:ind w:left="0" w:firstLine="0"/>
              <w:jc w:val="left"/>
            </w:pPr>
            <w:r>
              <w:t xml:space="preserve">2009 Sapporo, Japan </w:t>
            </w:r>
          </w:p>
        </w:tc>
        <w:tc>
          <w:tcPr>
            <w:tcW w:w="3675" w:type="dxa"/>
          </w:tcPr>
          <w:p w14:paraId="4D4D72F5" w14:textId="77777777" w:rsidR="00363926" w:rsidRDefault="00363926" w:rsidP="00363926">
            <w:pPr>
              <w:tabs>
                <w:tab w:val="center" w:pos="2160"/>
                <w:tab w:val="center" w:pos="4149"/>
                <w:tab w:val="center" w:pos="7197"/>
              </w:tabs>
              <w:ind w:left="-15" w:firstLine="0"/>
              <w:jc w:val="left"/>
            </w:pPr>
          </w:p>
        </w:tc>
      </w:tr>
    </w:tbl>
    <w:p w14:paraId="2823B6D5" w14:textId="17560E00" w:rsidR="00BC1F73" w:rsidRPr="00806F04" w:rsidRDefault="00806F04">
      <w:pPr>
        <w:tabs>
          <w:tab w:val="center" w:pos="1753"/>
          <w:tab w:val="center" w:pos="3120"/>
          <w:tab w:val="center" w:pos="4633"/>
          <w:tab w:val="center" w:pos="6000"/>
          <w:tab w:val="center" w:pos="7513"/>
        </w:tabs>
        <w:ind w:left="-15" w:firstLine="0"/>
        <w:jc w:val="left"/>
        <w:rPr>
          <w:rFonts w:eastAsiaTheme="minorEastAsia"/>
          <w:lang w:eastAsia="zh-CN"/>
        </w:rPr>
      </w:pPr>
      <w:r w:rsidRPr="00806F04">
        <w:rPr>
          <w:rFonts w:eastAsiaTheme="minorEastAsia"/>
          <w:lang w:eastAsia="zh-CN"/>
        </w:rPr>
        <w:t xml:space="preserve">Note: The </w:t>
      </w:r>
      <w:r w:rsidR="00F9596D">
        <w:rPr>
          <w:rFonts w:eastAsiaTheme="minorEastAsia"/>
          <w:lang w:eastAsia="zh-CN"/>
        </w:rPr>
        <w:t xml:space="preserve">listed </w:t>
      </w:r>
      <w:r w:rsidRPr="00806F04">
        <w:rPr>
          <w:rFonts w:eastAsiaTheme="minorEastAsia"/>
          <w:lang w:eastAsia="zh-CN"/>
        </w:rPr>
        <w:t xml:space="preserve">names may refer </w:t>
      </w:r>
      <w:r w:rsidR="00F9596D">
        <w:rPr>
          <w:rFonts w:eastAsiaTheme="minorEastAsia"/>
          <w:lang w:eastAsia="zh-CN"/>
        </w:rPr>
        <w:t xml:space="preserve">to either the country or </w:t>
      </w:r>
      <w:r w:rsidRPr="00806F04">
        <w:rPr>
          <w:rFonts w:eastAsiaTheme="minorEastAsia"/>
          <w:lang w:eastAsia="zh-CN"/>
        </w:rPr>
        <w:t>the corresponding city, depending on context.</w:t>
      </w:r>
    </w:p>
    <w:p w14:paraId="4F4F3983" w14:textId="77777777" w:rsidR="00720185" w:rsidRDefault="000257DD">
      <w:pPr>
        <w:spacing w:after="0" w:line="259" w:lineRule="auto"/>
        <w:ind w:left="0" w:firstLine="0"/>
        <w:jc w:val="left"/>
      </w:pPr>
      <w:r>
        <w:lastRenderedPageBreak/>
        <w:t xml:space="preserve"> </w:t>
      </w:r>
    </w:p>
    <w:p w14:paraId="2D5E23EB" w14:textId="4B4B34AF" w:rsidR="00720185" w:rsidRPr="00DF5114" w:rsidRDefault="00DF5114" w:rsidP="00DF5114">
      <w:pPr>
        <w:pStyle w:val="Heading1"/>
        <w:rPr>
          <w:b/>
          <w:bCs/>
          <w:color w:val="000000" w:themeColor="text1"/>
          <w:sz w:val="28"/>
          <w:szCs w:val="28"/>
        </w:rPr>
      </w:pPr>
      <w:r w:rsidRPr="00DF5114">
        <w:rPr>
          <w:b/>
          <w:bCs/>
          <w:color w:val="000000" w:themeColor="text1"/>
          <w:sz w:val="28"/>
          <w:szCs w:val="28"/>
        </w:rPr>
        <w:t xml:space="preserve">3. </w:t>
      </w:r>
      <w:r w:rsidR="000257DD" w:rsidRPr="00DF5114">
        <w:rPr>
          <w:b/>
          <w:bCs/>
          <w:color w:val="000000" w:themeColor="text1"/>
          <w:sz w:val="28"/>
          <w:szCs w:val="28"/>
        </w:rPr>
        <w:t xml:space="preserve">Application Procedure </w:t>
      </w:r>
    </w:p>
    <w:p w14:paraId="0F94B33C" w14:textId="77777777" w:rsidR="00720185" w:rsidRDefault="000257DD">
      <w:pPr>
        <w:spacing w:after="0" w:line="259" w:lineRule="auto"/>
        <w:ind w:left="0" w:firstLine="0"/>
        <w:jc w:val="left"/>
      </w:pPr>
      <w:r>
        <w:t xml:space="preserve"> </w:t>
      </w:r>
    </w:p>
    <w:p w14:paraId="2334F8AA" w14:textId="77777777" w:rsidR="007E0C3D" w:rsidRDefault="00751C2C" w:rsidP="00751C2C">
      <w:pPr>
        <w:spacing w:after="0" w:line="259" w:lineRule="auto"/>
        <w:ind w:left="0" w:firstLine="0"/>
      </w:pPr>
      <w:r w:rsidRPr="00751C2C">
        <w:t xml:space="preserve">Each year, the APSIPA VP-Conference </w:t>
      </w:r>
      <w:r w:rsidR="00E02AA1">
        <w:t xml:space="preserve">issues a </w:t>
      </w:r>
      <w:r w:rsidRPr="00751C2C">
        <w:t>“Call for APSIPA</w:t>
      </w:r>
      <w:r w:rsidR="00E02AA1">
        <w:t xml:space="preserve"> </w:t>
      </w:r>
      <w:r w:rsidRPr="00751C2C">
        <w:t xml:space="preserve">ASC Organizers” on behalf of the APSIPA Conference Board (ACB). </w:t>
      </w:r>
      <w:r w:rsidR="00E02AA1">
        <w:t>T</w:t>
      </w:r>
      <w:r w:rsidRPr="00751C2C">
        <w:t xml:space="preserve">he ACB </w:t>
      </w:r>
      <w:r w:rsidR="00E02AA1">
        <w:t>also</w:t>
      </w:r>
      <w:r w:rsidRPr="00751C2C">
        <w:t xml:space="preserve"> announce</w:t>
      </w:r>
      <w:r w:rsidR="00E02AA1">
        <w:t>s</w:t>
      </w:r>
      <w:r w:rsidRPr="00751C2C">
        <w:t xml:space="preserve"> a deadline for proposals. Any organization (university, institute, research </w:t>
      </w:r>
      <w:proofErr w:type="spellStart"/>
      <w:r w:rsidR="0043719A">
        <w:t>center</w:t>
      </w:r>
      <w:proofErr w:type="spellEnd"/>
      <w:r w:rsidRPr="00751C2C">
        <w:t xml:space="preserve">, company, or research group) may apply to </w:t>
      </w:r>
      <w:r w:rsidR="007E0C3D">
        <w:t>host</w:t>
      </w:r>
      <w:r w:rsidRPr="00751C2C">
        <w:t xml:space="preserve"> an APSIPA ASC.</w:t>
      </w:r>
    </w:p>
    <w:p w14:paraId="0C09E4A3" w14:textId="77777777" w:rsidR="007E0C3D" w:rsidRDefault="007E0C3D" w:rsidP="00751C2C">
      <w:pPr>
        <w:spacing w:after="0" w:line="259" w:lineRule="auto"/>
        <w:ind w:left="0" w:firstLine="0"/>
      </w:pPr>
    </w:p>
    <w:p w14:paraId="02D15480" w14:textId="127E5328" w:rsidR="007E0C3D" w:rsidRDefault="007E0C3D" w:rsidP="00751C2C">
      <w:pPr>
        <w:spacing w:after="0" w:line="259" w:lineRule="auto"/>
        <w:ind w:left="0" w:firstLine="0"/>
      </w:pPr>
      <w:r>
        <w:t>Applications follow these steps:</w:t>
      </w:r>
    </w:p>
    <w:p w14:paraId="392E2401" w14:textId="77777777" w:rsidR="00DF5114" w:rsidRDefault="00DF5114" w:rsidP="00DF5114">
      <w:pPr>
        <w:pStyle w:val="ListParagraph"/>
        <w:numPr>
          <w:ilvl w:val="0"/>
          <w:numId w:val="10"/>
        </w:numPr>
        <w:spacing w:after="0" w:line="259" w:lineRule="auto"/>
      </w:pPr>
      <w:r>
        <w:t>A</w:t>
      </w:r>
      <w:r w:rsidR="00751C2C" w:rsidRPr="00751C2C">
        <w:t>pplication</w:t>
      </w:r>
      <w:r>
        <w:t>s</w:t>
      </w:r>
      <w:r w:rsidR="00751C2C" w:rsidRPr="00751C2C">
        <w:t xml:space="preserve"> </w:t>
      </w:r>
      <w:r>
        <w:t>must be</w:t>
      </w:r>
      <w:r w:rsidR="00751C2C" w:rsidRPr="00751C2C">
        <w:t xml:space="preserve"> submitted to </w:t>
      </w:r>
      <w:r>
        <w:t xml:space="preserve">the </w:t>
      </w:r>
      <w:r w:rsidR="00751C2C" w:rsidRPr="00751C2C">
        <w:t>VP-Conference</w:t>
      </w:r>
      <w:r>
        <w:t>.</w:t>
      </w:r>
    </w:p>
    <w:p w14:paraId="15F63086" w14:textId="77777777" w:rsidR="00DF5114" w:rsidRDefault="00DF5114" w:rsidP="00DF5114">
      <w:pPr>
        <w:pStyle w:val="ListParagraph"/>
        <w:numPr>
          <w:ilvl w:val="0"/>
          <w:numId w:val="10"/>
        </w:numPr>
        <w:spacing w:after="0" w:line="259" w:lineRule="auto"/>
      </w:pPr>
      <w:r>
        <w:t>T</w:t>
      </w:r>
      <w:r w:rsidR="00751C2C" w:rsidRPr="00751C2C">
        <w:t xml:space="preserve">he Executive Committee of the ACB </w:t>
      </w:r>
      <w:r w:rsidR="00811B5A">
        <w:t xml:space="preserve">reviews </w:t>
      </w:r>
      <w:r>
        <w:t>each</w:t>
      </w:r>
      <w:r w:rsidR="00811B5A">
        <w:t xml:space="preserve"> application for completeness</w:t>
      </w:r>
    </w:p>
    <w:p w14:paraId="1248D7B7" w14:textId="77777777" w:rsidR="00DF5114" w:rsidRPr="00DF5114" w:rsidRDefault="00DF5114" w:rsidP="00DF5114">
      <w:pPr>
        <w:pStyle w:val="ListParagraph"/>
        <w:numPr>
          <w:ilvl w:val="0"/>
          <w:numId w:val="10"/>
        </w:numPr>
        <w:spacing w:after="0" w:line="259" w:lineRule="auto"/>
        <w:rPr>
          <w:rFonts w:eastAsiaTheme="minorEastAsia"/>
          <w:lang w:eastAsia="zh-CN"/>
        </w:rPr>
      </w:pPr>
      <w:r>
        <w:t>S</w:t>
      </w:r>
      <w:r w:rsidR="00751C2C" w:rsidRPr="00751C2C">
        <w:t>hortlisted</w:t>
      </w:r>
      <w:r w:rsidR="00811B5A">
        <w:t xml:space="preserve"> applicants are </w:t>
      </w:r>
      <w:r w:rsidR="00751C2C" w:rsidRPr="00751C2C">
        <w:t>invited to present the</w:t>
      </w:r>
      <w:r w:rsidR="00D366E3">
        <w:t>ir</w:t>
      </w:r>
      <w:r w:rsidR="00751C2C" w:rsidRPr="00751C2C">
        <w:t xml:space="preserve"> proposal</w:t>
      </w:r>
      <w:r>
        <w:t>s</w:t>
      </w:r>
      <w:r w:rsidR="00751C2C" w:rsidRPr="00751C2C">
        <w:t xml:space="preserve"> </w:t>
      </w:r>
      <w:r w:rsidR="00D366E3">
        <w:t>at a</w:t>
      </w:r>
      <w:r w:rsidR="00751C2C" w:rsidRPr="00751C2C">
        <w:t>n APSIPA Conference Committee meeting</w:t>
      </w:r>
      <w:r>
        <w:t>.</w:t>
      </w:r>
    </w:p>
    <w:p w14:paraId="25B89135" w14:textId="6972EE96" w:rsidR="00751C2C" w:rsidRPr="00DF5114" w:rsidRDefault="00DF5114" w:rsidP="00DF5114">
      <w:pPr>
        <w:pStyle w:val="ListParagraph"/>
        <w:numPr>
          <w:ilvl w:val="0"/>
          <w:numId w:val="10"/>
        </w:numPr>
        <w:spacing w:after="0" w:line="259" w:lineRule="auto"/>
        <w:rPr>
          <w:rFonts w:eastAsiaTheme="minorEastAsia"/>
          <w:lang w:eastAsia="zh-CN"/>
        </w:rPr>
      </w:pPr>
      <w:r>
        <w:t>I</w:t>
      </w:r>
      <w:r w:rsidR="00751C2C" w:rsidRPr="00751C2C">
        <w:t xml:space="preserve">f </w:t>
      </w:r>
      <w:r w:rsidR="00D366E3">
        <w:t xml:space="preserve">recommended by the </w:t>
      </w:r>
      <w:r w:rsidR="00751C2C" w:rsidRPr="00751C2C">
        <w:t>ACB</w:t>
      </w:r>
      <w:r w:rsidR="00D366E3">
        <w:t>,</w:t>
      </w:r>
      <w:r w:rsidR="00751C2C" w:rsidRPr="00751C2C">
        <w:t xml:space="preserve"> </w:t>
      </w:r>
      <w:r w:rsidR="00D366E3">
        <w:t>the</w:t>
      </w:r>
      <w:r w:rsidR="00751C2C" w:rsidRPr="00751C2C">
        <w:t xml:space="preserve"> VP-Conference will introduce </w:t>
      </w:r>
      <w:r w:rsidR="007522E8">
        <w:t>the proposal at</w:t>
      </w:r>
      <w:r w:rsidR="00751C2C" w:rsidRPr="00751C2C">
        <w:t xml:space="preserve"> the nearest APSIPA </w:t>
      </w:r>
      <w:proofErr w:type="spellStart"/>
      <w:r w:rsidR="00751C2C" w:rsidRPr="00751C2C">
        <w:t>BoG</w:t>
      </w:r>
      <w:proofErr w:type="spellEnd"/>
      <w:r w:rsidR="00751C2C" w:rsidRPr="00751C2C">
        <w:t xml:space="preserve"> meeting (chaired by the President) for final approva</w:t>
      </w:r>
      <w:r w:rsidR="007522E8">
        <w:t xml:space="preserve">l, </w:t>
      </w:r>
      <w:r w:rsidR="00751C2C" w:rsidRPr="00751C2C">
        <w:t xml:space="preserve">at least 2 years </w:t>
      </w:r>
      <w:r w:rsidR="007522E8">
        <w:t>before the proposed conference year</w:t>
      </w:r>
      <w:r w:rsidR="00751C2C" w:rsidRPr="00751C2C">
        <w:t>.</w:t>
      </w:r>
    </w:p>
    <w:p w14:paraId="3ABBCBE3" w14:textId="2F352AD2" w:rsidR="00720185" w:rsidRDefault="000257DD">
      <w:pPr>
        <w:spacing w:after="0" w:line="259" w:lineRule="auto"/>
        <w:ind w:left="0" w:firstLine="0"/>
        <w:jc w:val="left"/>
      </w:pPr>
      <w:r>
        <w:t xml:space="preserve"> </w:t>
      </w:r>
    </w:p>
    <w:p w14:paraId="51899BE1" w14:textId="413585AD" w:rsidR="00720185" w:rsidRPr="00463982" w:rsidRDefault="007522E8">
      <w:pPr>
        <w:ind w:left="-5"/>
        <w:rPr>
          <w:rFonts w:eastAsiaTheme="minorEastAsia"/>
          <w:lang w:eastAsia="zh-CN"/>
        </w:rPr>
      </w:pPr>
      <w:r>
        <w:t>Applications must include</w:t>
      </w:r>
      <w:r w:rsidR="000257DD">
        <w:t>:</w:t>
      </w:r>
    </w:p>
    <w:p w14:paraId="234995E8" w14:textId="01F5B761" w:rsidR="00463982" w:rsidRPr="00463982" w:rsidRDefault="000257DD" w:rsidP="00463982">
      <w:pPr>
        <w:pStyle w:val="ListParagraph"/>
        <w:numPr>
          <w:ilvl w:val="0"/>
          <w:numId w:val="1"/>
        </w:numPr>
      </w:pPr>
      <w:r w:rsidRPr="00463982">
        <w:rPr>
          <w:b/>
        </w:rPr>
        <w:t>Contact</w:t>
      </w:r>
      <w:r w:rsidR="007522E8">
        <w:rPr>
          <w:b/>
        </w:rPr>
        <w:t xml:space="preserve"> Person</w:t>
      </w:r>
    </w:p>
    <w:p w14:paraId="02DFC5D2" w14:textId="028EDD63" w:rsidR="00463982" w:rsidRPr="00463982" w:rsidRDefault="007522E8" w:rsidP="00463982">
      <w:pPr>
        <w:ind w:left="720" w:firstLine="0"/>
      </w:pPr>
      <w:r>
        <w:t>The c</w:t>
      </w:r>
      <w:r w:rsidR="00463982" w:rsidRPr="00463982">
        <w:t xml:space="preserve">ontact </w:t>
      </w:r>
      <w:r w:rsidR="00A43832">
        <w:t>s</w:t>
      </w:r>
      <w:r w:rsidR="00463982" w:rsidRPr="00463982">
        <w:t>hould be the main person in charge of the ASC conference, including finance</w:t>
      </w:r>
      <w:r w:rsidR="00DF5114">
        <w:t>s</w:t>
      </w:r>
      <w:r w:rsidR="00463982" w:rsidRPr="00463982">
        <w:t xml:space="preserve">. The contact </w:t>
      </w:r>
      <w:r w:rsidR="00320990">
        <w:t xml:space="preserve">must sign the contract with the APSIPA President on behalf of </w:t>
      </w:r>
      <w:r w:rsidR="00011752">
        <w:t>their</w:t>
      </w:r>
      <w:r w:rsidR="00463982" w:rsidRPr="00463982">
        <w:t xml:space="preserve"> supporting affiliation. </w:t>
      </w:r>
      <w:r w:rsidR="00320990">
        <w:t>A short biography and relevant</w:t>
      </w:r>
      <w:r w:rsidR="00463982" w:rsidRPr="00463982">
        <w:t xml:space="preserve"> experience in organizing international conferences of the contact and key officers should be included in the proposal. </w:t>
      </w:r>
    </w:p>
    <w:p w14:paraId="7B8C27EC" w14:textId="77777777" w:rsidR="00463982" w:rsidRPr="00463982" w:rsidRDefault="00463982" w:rsidP="00463982">
      <w:pPr>
        <w:ind w:left="139" w:firstLine="0"/>
      </w:pPr>
    </w:p>
    <w:p w14:paraId="50A60C8F" w14:textId="52C1A4A1" w:rsidR="00EA545D" w:rsidRPr="00EA545D" w:rsidRDefault="000257DD" w:rsidP="001019BD">
      <w:pPr>
        <w:pStyle w:val="ListParagraph"/>
        <w:numPr>
          <w:ilvl w:val="0"/>
          <w:numId w:val="1"/>
        </w:numPr>
      </w:pPr>
      <w:r w:rsidRPr="00EA545D">
        <w:rPr>
          <w:b/>
        </w:rPr>
        <w:t xml:space="preserve">Conference </w:t>
      </w:r>
      <w:r w:rsidR="00EA545D">
        <w:rPr>
          <w:rFonts w:eastAsiaTheme="minorEastAsia" w:hint="eastAsia"/>
          <w:b/>
          <w:lang w:eastAsia="zh-CN"/>
        </w:rPr>
        <w:t>D</w:t>
      </w:r>
      <w:r w:rsidRPr="00EA545D">
        <w:rPr>
          <w:b/>
        </w:rPr>
        <w:t xml:space="preserve">ates and </w:t>
      </w:r>
      <w:r w:rsidR="00EA545D">
        <w:rPr>
          <w:rFonts w:eastAsiaTheme="minorEastAsia" w:hint="eastAsia"/>
          <w:b/>
          <w:lang w:eastAsia="zh-CN"/>
        </w:rPr>
        <w:t>V</w:t>
      </w:r>
      <w:r w:rsidRPr="00EA545D">
        <w:rPr>
          <w:b/>
        </w:rPr>
        <w:t>enue</w:t>
      </w:r>
    </w:p>
    <w:p w14:paraId="065DFF54" w14:textId="244EE85A" w:rsidR="00D62658" w:rsidRPr="00D62658" w:rsidRDefault="00D62658" w:rsidP="00D62658">
      <w:pPr>
        <w:ind w:left="720" w:firstLine="0"/>
      </w:pPr>
      <w:r w:rsidRPr="00D62658">
        <w:t xml:space="preserve">Tentative ASC conference dates and venue </w:t>
      </w:r>
      <w:r w:rsidR="00DF5114">
        <w:t>must be</w:t>
      </w:r>
      <w:r w:rsidRPr="00D62658">
        <w:t xml:space="preserve"> specified in the application. </w:t>
      </w:r>
      <w:r w:rsidR="00DF5114">
        <w:t>D</w:t>
      </w:r>
      <w:r w:rsidRPr="00D62658">
        <w:t xml:space="preserve">ates should not conflict with any major conferences in the same or similar areas. The venue should have </w:t>
      </w:r>
      <w:r w:rsidR="00011752">
        <w:t>sufficient</w:t>
      </w:r>
      <w:r w:rsidRPr="00D62658">
        <w:t xml:space="preserve"> capacity.</w:t>
      </w:r>
    </w:p>
    <w:p w14:paraId="599665F6" w14:textId="77777777" w:rsidR="00D62658" w:rsidRDefault="00D62658" w:rsidP="00D62658">
      <w:pPr>
        <w:ind w:left="0" w:firstLine="0"/>
        <w:rPr>
          <w:rFonts w:eastAsiaTheme="minorEastAsia"/>
          <w:lang w:eastAsia="zh-CN"/>
        </w:rPr>
      </w:pPr>
    </w:p>
    <w:p w14:paraId="695E6743" w14:textId="3F684CF5" w:rsidR="001019BD" w:rsidRPr="001019BD" w:rsidRDefault="000257DD" w:rsidP="001019BD">
      <w:pPr>
        <w:pStyle w:val="ListParagraph"/>
        <w:numPr>
          <w:ilvl w:val="0"/>
          <w:numId w:val="1"/>
        </w:numPr>
      </w:pPr>
      <w:r w:rsidRPr="001019BD">
        <w:rPr>
          <w:b/>
        </w:rPr>
        <w:t xml:space="preserve">Organizing </w:t>
      </w:r>
      <w:r w:rsidR="001019BD">
        <w:rPr>
          <w:rFonts w:eastAsiaTheme="minorEastAsia" w:hint="eastAsia"/>
          <w:b/>
          <w:lang w:eastAsia="zh-CN"/>
        </w:rPr>
        <w:t>C</w:t>
      </w:r>
      <w:r w:rsidRPr="001019BD">
        <w:rPr>
          <w:b/>
        </w:rPr>
        <w:t>ommittee</w:t>
      </w:r>
    </w:p>
    <w:p w14:paraId="49F2E35B" w14:textId="2F290E3B" w:rsidR="00ED3276" w:rsidRPr="00ED3276" w:rsidRDefault="00ED3276" w:rsidP="00ED3276">
      <w:pPr>
        <w:ind w:left="720" w:firstLine="0"/>
      </w:pPr>
      <w:r w:rsidRPr="00ED3276">
        <w:t xml:space="preserve">A draft organizing committee </w:t>
      </w:r>
      <w:r w:rsidR="00011752">
        <w:t xml:space="preserve">list </w:t>
      </w:r>
      <w:r w:rsidRPr="00ED3276">
        <w:t xml:space="preserve">should be presented, especially key members such as general co-chair(s), technical program co-chair(s), and local arrangement chair(s). </w:t>
      </w:r>
      <w:r w:rsidR="00DF5114">
        <w:t>M</w:t>
      </w:r>
      <w:r w:rsidRPr="00ED3276">
        <w:t xml:space="preserve">embers should have confirmed their willingness to serve on the committee. To avoid a conflict of interest, </w:t>
      </w:r>
      <w:r w:rsidR="00DF5114">
        <w:t>individuals</w:t>
      </w:r>
      <w:r w:rsidRPr="00ED3276">
        <w:t xml:space="preserve"> who will approve the application, including but not limited to the President and the VP-Conference, cannot be </w:t>
      </w:r>
      <w:r w:rsidR="00024A1B">
        <w:t>chief organizer</w:t>
      </w:r>
      <w:r w:rsidR="00DF5114">
        <w:t>s</w:t>
      </w:r>
      <w:r w:rsidRPr="00ED3276">
        <w:t>.</w:t>
      </w:r>
    </w:p>
    <w:p w14:paraId="22F713E8" w14:textId="77777777" w:rsidR="00ED3276" w:rsidRDefault="00ED3276" w:rsidP="00ED3276">
      <w:pPr>
        <w:ind w:left="-129" w:firstLine="0"/>
        <w:rPr>
          <w:rFonts w:eastAsiaTheme="minorEastAsia"/>
          <w:lang w:eastAsia="zh-CN"/>
        </w:rPr>
      </w:pPr>
    </w:p>
    <w:p w14:paraId="1EA567A3" w14:textId="57934B6F" w:rsidR="00ED3276" w:rsidRPr="00ED3276" w:rsidRDefault="000257DD" w:rsidP="00ED3276">
      <w:pPr>
        <w:pStyle w:val="ListParagraph"/>
        <w:numPr>
          <w:ilvl w:val="0"/>
          <w:numId w:val="1"/>
        </w:numPr>
        <w:rPr>
          <w:rFonts w:eastAsiaTheme="minorEastAsia"/>
          <w:lang w:eastAsia="zh-CN"/>
        </w:rPr>
      </w:pPr>
      <w:r w:rsidRPr="00ED3276">
        <w:rPr>
          <w:b/>
        </w:rPr>
        <w:t>Hotel/</w:t>
      </w:r>
      <w:r w:rsidR="00ED3276" w:rsidRPr="00ED3276">
        <w:rPr>
          <w:rFonts w:eastAsiaTheme="minorEastAsia" w:hint="eastAsia"/>
          <w:b/>
          <w:lang w:eastAsia="zh-CN"/>
        </w:rPr>
        <w:t>A</w:t>
      </w:r>
      <w:r w:rsidRPr="00ED3276">
        <w:rPr>
          <w:b/>
        </w:rPr>
        <w:t>ccommodation and Transportation</w:t>
      </w:r>
    </w:p>
    <w:p w14:paraId="752D5356" w14:textId="6A67D1C3" w:rsidR="00ED3276" w:rsidRDefault="00011752" w:rsidP="009E238B">
      <w:pPr>
        <w:ind w:left="720" w:firstLine="0"/>
        <w:rPr>
          <w:rFonts w:eastAsiaTheme="minorEastAsia"/>
          <w:lang w:eastAsia="zh-CN"/>
        </w:rPr>
      </w:pPr>
      <w:r>
        <w:rPr>
          <w:rFonts w:eastAsiaTheme="minorEastAsia"/>
          <w:lang w:eastAsia="zh-CN"/>
        </w:rPr>
        <w:t>D</w:t>
      </w:r>
      <w:r w:rsidR="009E238B" w:rsidRPr="009E238B">
        <w:rPr>
          <w:rFonts w:eastAsiaTheme="minorEastAsia"/>
          <w:lang w:eastAsia="zh-CN"/>
        </w:rPr>
        <w:t xml:space="preserve">etails on </w:t>
      </w:r>
      <w:r>
        <w:rPr>
          <w:rFonts w:eastAsiaTheme="minorEastAsia"/>
          <w:lang w:eastAsia="zh-CN"/>
        </w:rPr>
        <w:t xml:space="preserve">nearby </w:t>
      </w:r>
      <w:r w:rsidR="009E238B" w:rsidRPr="009E238B">
        <w:rPr>
          <w:rFonts w:eastAsiaTheme="minorEastAsia"/>
          <w:lang w:eastAsia="zh-CN"/>
        </w:rPr>
        <w:t>hotels</w:t>
      </w:r>
      <w:r>
        <w:rPr>
          <w:rFonts w:eastAsiaTheme="minorEastAsia"/>
          <w:lang w:eastAsia="zh-CN"/>
        </w:rPr>
        <w:t xml:space="preserve"> and travel options from </w:t>
      </w:r>
      <w:r w:rsidR="009E238B" w:rsidRPr="009E238B">
        <w:rPr>
          <w:rFonts w:eastAsiaTheme="minorEastAsia"/>
          <w:lang w:eastAsia="zh-CN"/>
        </w:rPr>
        <w:t>major international cities to the host city and onward to the conference venue (e.g., air, high-speed rail, ferry, subway)</w:t>
      </w:r>
      <w:r w:rsidR="00DF5114">
        <w:rPr>
          <w:rFonts w:eastAsiaTheme="minorEastAsia"/>
          <w:lang w:eastAsia="zh-CN"/>
        </w:rPr>
        <w:t xml:space="preserve"> should be provided</w:t>
      </w:r>
      <w:r w:rsidR="009E238B" w:rsidRPr="009E238B">
        <w:rPr>
          <w:rFonts w:eastAsiaTheme="minorEastAsia"/>
          <w:lang w:eastAsia="zh-CN"/>
        </w:rPr>
        <w:t>.</w:t>
      </w:r>
    </w:p>
    <w:p w14:paraId="621E663B" w14:textId="77777777" w:rsidR="009E238B" w:rsidRPr="00ED3276" w:rsidRDefault="009E238B" w:rsidP="00ED3276">
      <w:pPr>
        <w:ind w:left="-129" w:firstLine="0"/>
        <w:rPr>
          <w:rFonts w:eastAsiaTheme="minorEastAsia"/>
          <w:lang w:eastAsia="zh-CN"/>
        </w:rPr>
      </w:pPr>
    </w:p>
    <w:p w14:paraId="13D6D4AF" w14:textId="77777777" w:rsidR="0077136C" w:rsidRPr="0077136C" w:rsidRDefault="000257DD" w:rsidP="0077136C">
      <w:pPr>
        <w:pStyle w:val="ListParagraph"/>
        <w:numPr>
          <w:ilvl w:val="0"/>
          <w:numId w:val="1"/>
        </w:numPr>
      </w:pPr>
      <w:r w:rsidRPr="0077136C">
        <w:rPr>
          <w:b/>
        </w:rPr>
        <w:t>Budget</w:t>
      </w:r>
    </w:p>
    <w:p w14:paraId="5AF16A52" w14:textId="48A18FC4" w:rsidR="0077136C" w:rsidRDefault="0077136C" w:rsidP="0077136C">
      <w:pPr>
        <w:ind w:left="720" w:firstLine="0"/>
        <w:rPr>
          <w:rFonts w:eastAsiaTheme="minorEastAsia"/>
          <w:lang w:eastAsia="zh-CN"/>
        </w:rPr>
      </w:pPr>
      <w:r w:rsidRPr="0077136C">
        <w:rPr>
          <w:rFonts w:eastAsiaTheme="minorEastAsia"/>
          <w:lang w:eastAsia="zh-CN"/>
        </w:rPr>
        <w:lastRenderedPageBreak/>
        <w:t>A budget plan</w:t>
      </w:r>
      <w:r w:rsidR="00011752">
        <w:rPr>
          <w:rFonts w:eastAsiaTheme="minorEastAsia"/>
          <w:lang w:eastAsia="zh-CN"/>
        </w:rPr>
        <w:t>,</w:t>
      </w:r>
      <w:r w:rsidRPr="0077136C">
        <w:rPr>
          <w:rFonts w:eastAsiaTheme="minorEastAsia"/>
          <w:lang w:eastAsia="zh-CN"/>
        </w:rPr>
        <w:t xml:space="preserve"> includ</w:t>
      </w:r>
      <w:r w:rsidR="00011752">
        <w:rPr>
          <w:rFonts w:eastAsiaTheme="minorEastAsia"/>
          <w:lang w:eastAsia="zh-CN"/>
        </w:rPr>
        <w:t>ing</w:t>
      </w:r>
      <w:r w:rsidRPr="0077136C">
        <w:rPr>
          <w:rFonts w:eastAsiaTheme="minorEastAsia"/>
          <w:lang w:eastAsia="zh-CN"/>
        </w:rPr>
        <w:t xml:space="preserve"> </w:t>
      </w:r>
      <w:r w:rsidR="00DF5114">
        <w:rPr>
          <w:rFonts w:eastAsiaTheme="minorEastAsia"/>
          <w:lang w:eastAsia="zh-CN"/>
        </w:rPr>
        <w:t xml:space="preserve">estimated </w:t>
      </w:r>
      <w:r w:rsidRPr="0077136C">
        <w:rPr>
          <w:rFonts w:eastAsiaTheme="minorEastAsia"/>
          <w:lang w:eastAsia="zh-CN"/>
        </w:rPr>
        <w:t>incom</w:t>
      </w:r>
      <w:r w:rsidR="00DF5114">
        <w:rPr>
          <w:rFonts w:eastAsiaTheme="minorEastAsia"/>
          <w:lang w:eastAsia="zh-CN"/>
        </w:rPr>
        <w:t>e</w:t>
      </w:r>
      <w:r w:rsidRPr="0077136C">
        <w:rPr>
          <w:rFonts w:eastAsiaTheme="minorEastAsia"/>
          <w:lang w:eastAsia="zh-CN"/>
        </w:rPr>
        <w:t xml:space="preserve"> and expenses, </w:t>
      </w:r>
      <w:r w:rsidR="00DF5114">
        <w:rPr>
          <w:rFonts w:eastAsiaTheme="minorEastAsia"/>
          <w:lang w:eastAsia="zh-CN"/>
        </w:rPr>
        <w:t xml:space="preserve">and contributions from </w:t>
      </w:r>
      <w:r w:rsidRPr="0077136C">
        <w:rPr>
          <w:rFonts w:eastAsiaTheme="minorEastAsia"/>
          <w:lang w:eastAsia="zh-CN"/>
        </w:rPr>
        <w:t>financial sponsors</w:t>
      </w:r>
      <w:r>
        <w:rPr>
          <w:rFonts w:eastAsiaTheme="minorEastAsia"/>
          <w:lang w:eastAsia="zh-CN"/>
        </w:rPr>
        <w:t xml:space="preserve">, </w:t>
      </w:r>
      <w:r w:rsidRPr="0077136C">
        <w:rPr>
          <w:rFonts w:eastAsiaTheme="minorEastAsia"/>
          <w:lang w:eastAsia="zh-CN"/>
        </w:rPr>
        <w:t>should be given. The budget plan should be healthy.</w:t>
      </w:r>
    </w:p>
    <w:p w14:paraId="663FAF78" w14:textId="77777777" w:rsidR="0077136C" w:rsidRPr="0077136C" w:rsidRDefault="0077136C" w:rsidP="0077136C">
      <w:pPr>
        <w:ind w:left="-129" w:firstLine="0"/>
        <w:rPr>
          <w:rFonts w:eastAsiaTheme="minorEastAsia"/>
          <w:lang w:eastAsia="zh-CN"/>
        </w:rPr>
      </w:pPr>
    </w:p>
    <w:p w14:paraId="11F7415C" w14:textId="662EB2F8" w:rsidR="00CD11C3" w:rsidRPr="00CD11C3" w:rsidRDefault="000257DD" w:rsidP="00CD11C3">
      <w:pPr>
        <w:pStyle w:val="ListParagraph"/>
        <w:numPr>
          <w:ilvl w:val="0"/>
          <w:numId w:val="1"/>
        </w:numPr>
        <w:rPr>
          <w:b/>
          <w:bCs/>
        </w:rPr>
      </w:pPr>
      <w:r w:rsidRPr="00CD11C3">
        <w:rPr>
          <w:b/>
          <w:bCs/>
        </w:rPr>
        <w:t xml:space="preserve">Social </w:t>
      </w:r>
      <w:r w:rsidR="00CD11C3" w:rsidRPr="00CD11C3">
        <w:rPr>
          <w:rFonts w:eastAsiaTheme="minorEastAsia" w:hint="eastAsia"/>
          <w:b/>
          <w:bCs/>
          <w:lang w:eastAsia="zh-CN"/>
        </w:rPr>
        <w:t>A</w:t>
      </w:r>
      <w:r w:rsidRPr="00CD11C3">
        <w:rPr>
          <w:b/>
          <w:bCs/>
        </w:rPr>
        <w:t>ctivities</w:t>
      </w:r>
    </w:p>
    <w:p w14:paraId="7B8FDFBC" w14:textId="19B6D38A" w:rsidR="00CD11C3" w:rsidRDefault="00CD11C3" w:rsidP="00CD11C3">
      <w:pPr>
        <w:ind w:left="720" w:firstLine="0"/>
        <w:rPr>
          <w:rFonts w:eastAsiaTheme="minorEastAsia"/>
          <w:lang w:eastAsia="zh-CN"/>
        </w:rPr>
      </w:pPr>
      <w:r w:rsidRPr="00CD11C3">
        <w:t>Social activities such as sightseeing, visits to landmarks, and social performances at the reception or banquet should be mentioned.</w:t>
      </w:r>
    </w:p>
    <w:p w14:paraId="02B7F1F1" w14:textId="77777777" w:rsidR="00CD11C3" w:rsidRPr="00CD11C3" w:rsidRDefault="00CD11C3" w:rsidP="00CD11C3">
      <w:pPr>
        <w:ind w:firstLine="0"/>
        <w:rPr>
          <w:rFonts w:eastAsiaTheme="minorEastAsia"/>
          <w:lang w:eastAsia="zh-CN"/>
        </w:rPr>
      </w:pPr>
    </w:p>
    <w:p w14:paraId="05C7DF10" w14:textId="77777777" w:rsidR="00CE73A4" w:rsidRPr="00CE73A4" w:rsidRDefault="000257DD" w:rsidP="00CE73A4">
      <w:pPr>
        <w:pStyle w:val="ListParagraph"/>
        <w:numPr>
          <w:ilvl w:val="0"/>
          <w:numId w:val="1"/>
        </w:numPr>
        <w:rPr>
          <w:rFonts w:eastAsiaTheme="minorEastAsia"/>
          <w:lang w:eastAsia="zh-CN"/>
        </w:rPr>
      </w:pPr>
      <w:r w:rsidRPr="00CE73A4">
        <w:rPr>
          <w:b/>
        </w:rPr>
        <w:t>Commitments</w:t>
      </w:r>
    </w:p>
    <w:p w14:paraId="16548D61" w14:textId="4472DE53" w:rsidR="00720185" w:rsidRDefault="000257DD" w:rsidP="00CE73A4">
      <w:pPr>
        <w:ind w:left="720" w:firstLine="0"/>
      </w:pPr>
      <w:r>
        <w:t xml:space="preserve">The applicant should make commitments, including but not limited to: </w:t>
      </w:r>
    </w:p>
    <w:p w14:paraId="25D4D748" w14:textId="59B7BA74" w:rsidR="00EB1922" w:rsidRPr="00137907" w:rsidRDefault="00B71713" w:rsidP="00EB1922">
      <w:pPr>
        <w:pStyle w:val="ListParagraph"/>
        <w:numPr>
          <w:ilvl w:val="0"/>
          <w:numId w:val="6"/>
        </w:numPr>
        <w:tabs>
          <w:tab w:val="right" w:pos="9365"/>
        </w:tabs>
      </w:pPr>
      <w:r>
        <w:t>Paying a h</w:t>
      </w:r>
      <w:r w:rsidR="000257DD">
        <w:t>andling charge of US$10</w:t>
      </w:r>
      <w:r w:rsidR="00856F42">
        <w:t>,000</w:t>
      </w:r>
      <w:r w:rsidR="000257DD">
        <w:t xml:space="preserve"> to APSIPA Headquarters after the conference</w:t>
      </w:r>
      <w:r w:rsidR="003B4C38">
        <w:t>.</w:t>
      </w:r>
    </w:p>
    <w:p w14:paraId="73147D92" w14:textId="4D382B38" w:rsidR="00137907" w:rsidRPr="00EB1922" w:rsidRDefault="000257DD" w:rsidP="00137907">
      <w:pPr>
        <w:pStyle w:val="ListParagraph"/>
        <w:numPr>
          <w:ilvl w:val="0"/>
          <w:numId w:val="6"/>
        </w:numPr>
        <w:tabs>
          <w:tab w:val="right" w:pos="9365"/>
        </w:tabs>
      </w:pPr>
      <w:r>
        <w:t>Collecti</w:t>
      </w:r>
      <w:r w:rsidR="00856F42">
        <w:t>n</w:t>
      </w:r>
      <w:r w:rsidR="003B4C38">
        <w:t>g</w:t>
      </w:r>
      <w:r w:rsidR="00856F42">
        <w:t xml:space="preserve"> </w:t>
      </w:r>
      <w:r>
        <w:t>membership fees upon conference registration (</w:t>
      </w:r>
      <w:r w:rsidR="00856F42">
        <w:t>included in</w:t>
      </w:r>
      <w:r>
        <w:t xml:space="preserve"> the registration fees)</w:t>
      </w:r>
      <w:r w:rsidR="003B4C38">
        <w:rPr>
          <w:rFonts w:eastAsiaTheme="minorEastAsia"/>
          <w:lang w:eastAsia="zh-CN"/>
        </w:rPr>
        <w:t>.</w:t>
      </w:r>
    </w:p>
    <w:p w14:paraId="116F9BE8" w14:textId="1AEA987A" w:rsidR="00EB1922" w:rsidRPr="00137907" w:rsidRDefault="00EB1922" w:rsidP="00137907">
      <w:pPr>
        <w:pStyle w:val="ListParagraph"/>
        <w:numPr>
          <w:ilvl w:val="0"/>
          <w:numId w:val="6"/>
        </w:numPr>
        <w:tabs>
          <w:tab w:val="right" w:pos="9365"/>
        </w:tabs>
      </w:pPr>
      <w:r>
        <w:rPr>
          <w:rFonts w:eastAsiaTheme="minorEastAsia"/>
          <w:lang w:eastAsia="zh-CN"/>
        </w:rPr>
        <w:t>Cover</w:t>
      </w:r>
      <w:r w:rsidR="003B4C38">
        <w:rPr>
          <w:rFonts w:eastAsiaTheme="minorEastAsia"/>
          <w:lang w:eastAsia="zh-CN"/>
        </w:rPr>
        <w:t>ing</w:t>
      </w:r>
      <w:r>
        <w:rPr>
          <w:rFonts w:eastAsiaTheme="minorEastAsia"/>
          <w:lang w:eastAsia="zh-CN"/>
        </w:rPr>
        <w:t xml:space="preserve"> hotel costs </w:t>
      </w:r>
      <w:r w:rsidR="00956A67">
        <w:rPr>
          <w:rFonts w:eastAsiaTheme="minorEastAsia"/>
          <w:lang w:eastAsia="zh-CN"/>
        </w:rPr>
        <w:t xml:space="preserve">and registration fees (if applicable) </w:t>
      </w:r>
      <w:r>
        <w:rPr>
          <w:rFonts w:eastAsiaTheme="minorEastAsia"/>
          <w:lang w:eastAsia="zh-CN"/>
        </w:rPr>
        <w:t xml:space="preserve">for APSIPA </w:t>
      </w:r>
      <w:proofErr w:type="spellStart"/>
      <w:r>
        <w:rPr>
          <w:rFonts w:eastAsiaTheme="minorEastAsia"/>
          <w:lang w:eastAsia="zh-CN"/>
        </w:rPr>
        <w:t>BoG</w:t>
      </w:r>
      <w:proofErr w:type="spellEnd"/>
      <w:r>
        <w:rPr>
          <w:rFonts w:eastAsiaTheme="minorEastAsia"/>
          <w:lang w:eastAsia="zh-CN"/>
        </w:rPr>
        <w:t xml:space="preserve"> members</w:t>
      </w:r>
      <w:r w:rsidR="003B4C38">
        <w:rPr>
          <w:rFonts w:eastAsiaTheme="minorEastAsia"/>
          <w:lang w:eastAsia="zh-CN"/>
        </w:rPr>
        <w:t>.</w:t>
      </w:r>
    </w:p>
    <w:p w14:paraId="74532E6E" w14:textId="50E2ED83" w:rsidR="00137907" w:rsidRPr="00137907" w:rsidRDefault="00856F42" w:rsidP="00137907">
      <w:pPr>
        <w:pStyle w:val="ListParagraph"/>
        <w:numPr>
          <w:ilvl w:val="0"/>
          <w:numId w:val="6"/>
        </w:numPr>
        <w:tabs>
          <w:tab w:val="right" w:pos="9365"/>
        </w:tabs>
      </w:pPr>
      <w:r>
        <w:t>Present</w:t>
      </w:r>
      <w:r w:rsidR="003B4C38">
        <w:t>ing</w:t>
      </w:r>
      <w:r w:rsidR="00137907" w:rsidRPr="00137907">
        <w:t xml:space="preserve"> the proposal </w:t>
      </w:r>
      <w:r>
        <w:t>at</w:t>
      </w:r>
      <w:r w:rsidR="00137907" w:rsidRPr="00137907">
        <w:t xml:space="preserve"> a Conference Board meeting held </w:t>
      </w:r>
      <w:r w:rsidR="003B4C38">
        <w:t xml:space="preserve">during </w:t>
      </w:r>
      <w:r w:rsidR="00137907" w:rsidRPr="00137907">
        <w:t>an ASC, and</w:t>
      </w:r>
      <w:r w:rsidR="003B4C38">
        <w:t xml:space="preserve"> at</w:t>
      </w:r>
      <w:r w:rsidR="00137907" w:rsidRPr="00137907">
        <w:t xml:space="preserve"> </w:t>
      </w:r>
      <w:r>
        <w:t>subsequent</w:t>
      </w:r>
      <w:r w:rsidR="00137907" w:rsidRPr="00137907">
        <w:t xml:space="preserve"> bidding </w:t>
      </w:r>
      <w:r w:rsidR="003B4C38">
        <w:t>meetings</w:t>
      </w:r>
      <w:r w:rsidR="00137907" w:rsidRPr="00137907">
        <w:t xml:space="preserve"> arranged by the ACB.</w:t>
      </w:r>
    </w:p>
    <w:p w14:paraId="06B206DB" w14:textId="77777777" w:rsidR="00AC0B1D" w:rsidRDefault="00AC0B1D" w:rsidP="00AC0B1D">
      <w:pPr>
        <w:spacing w:after="0" w:line="259" w:lineRule="auto"/>
        <w:jc w:val="left"/>
        <w:rPr>
          <w:rFonts w:eastAsiaTheme="minorEastAsia"/>
          <w:b/>
          <w:lang w:eastAsia="zh-CN"/>
        </w:rPr>
      </w:pPr>
    </w:p>
    <w:p w14:paraId="2FE0B481" w14:textId="0206F735" w:rsidR="00AC0B1D" w:rsidRPr="00AC0B1D" w:rsidRDefault="000257DD" w:rsidP="00AC0B1D">
      <w:pPr>
        <w:pStyle w:val="ListParagraph"/>
        <w:numPr>
          <w:ilvl w:val="0"/>
          <w:numId w:val="1"/>
        </w:numPr>
        <w:spacing w:after="0" w:line="259" w:lineRule="auto"/>
        <w:jc w:val="left"/>
      </w:pPr>
      <w:r w:rsidRPr="00AC0B1D">
        <w:rPr>
          <w:b/>
        </w:rPr>
        <w:t xml:space="preserve">PowerPoint </w:t>
      </w:r>
      <w:r w:rsidR="00AC0B1D">
        <w:rPr>
          <w:rFonts w:eastAsiaTheme="minorEastAsia" w:hint="eastAsia"/>
          <w:b/>
          <w:lang w:eastAsia="zh-CN"/>
        </w:rPr>
        <w:t>P</w:t>
      </w:r>
      <w:r w:rsidRPr="00AC0B1D">
        <w:rPr>
          <w:b/>
        </w:rPr>
        <w:t>resentation</w:t>
      </w:r>
    </w:p>
    <w:p w14:paraId="07F13349" w14:textId="77777777" w:rsidR="00AC0B1D" w:rsidRDefault="00AC0B1D" w:rsidP="00AC0B1D">
      <w:pPr>
        <w:spacing w:after="0" w:line="259" w:lineRule="auto"/>
        <w:ind w:left="720" w:firstLine="0"/>
        <w:rPr>
          <w:rFonts w:eastAsiaTheme="minorEastAsia"/>
          <w:lang w:eastAsia="zh-CN"/>
        </w:rPr>
      </w:pPr>
      <w:r w:rsidRPr="00AC0B1D">
        <w:t>A PowerPoint presentation that includes all the abovementioned items should be submitted together with the application. It is encouraged that the proposal be prepared and submitted in electronic form, such as in doc/ppt/pdf format. </w:t>
      </w:r>
    </w:p>
    <w:p w14:paraId="78124754" w14:textId="04889CBA" w:rsidR="00720185" w:rsidRDefault="000257DD">
      <w:pPr>
        <w:spacing w:after="0" w:line="259" w:lineRule="auto"/>
        <w:ind w:left="0" w:firstLine="0"/>
        <w:jc w:val="left"/>
      </w:pPr>
      <w:r>
        <w:t xml:space="preserve"> </w:t>
      </w:r>
    </w:p>
    <w:p w14:paraId="301BFCDD" w14:textId="77777777" w:rsidR="00625988" w:rsidRDefault="00625988">
      <w:pPr>
        <w:pStyle w:val="Heading1"/>
        <w:ind w:left="-5"/>
        <w:rPr>
          <w:rFonts w:eastAsiaTheme="minorEastAsia"/>
          <w:lang w:eastAsia="zh-CN"/>
        </w:rPr>
      </w:pPr>
    </w:p>
    <w:p w14:paraId="704751AE" w14:textId="63931C56" w:rsidR="00720185" w:rsidRPr="003B4C38" w:rsidRDefault="003B4C38" w:rsidP="003B4C38">
      <w:pPr>
        <w:pStyle w:val="Heading1"/>
        <w:rPr>
          <w:b/>
          <w:bCs/>
          <w:color w:val="000000" w:themeColor="text1"/>
          <w:sz w:val="28"/>
          <w:szCs w:val="28"/>
        </w:rPr>
      </w:pPr>
      <w:r w:rsidRPr="003B4C38">
        <w:rPr>
          <w:b/>
          <w:bCs/>
          <w:color w:val="000000" w:themeColor="text1"/>
          <w:sz w:val="28"/>
          <w:szCs w:val="28"/>
        </w:rPr>
        <w:t xml:space="preserve">4. </w:t>
      </w:r>
      <w:r w:rsidR="000257DD" w:rsidRPr="003B4C38">
        <w:rPr>
          <w:b/>
          <w:bCs/>
          <w:color w:val="000000" w:themeColor="text1"/>
          <w:sz w:val="28"/>
          <w:szCs w:val="28"/>
        </w:rPr>
        <w:t xml:space="preserve">Approval Procedure </w:t>
      </w:r>
    </w:p>
    <w:p w14:paraId="7B157D43" w14:textId="77777777" w:rsidR="00720185" w:rsidRDefault="000257DD">
      <w:pPr>
        <w:spacing w:after="0" w:line="259" w:lineRule="auto"/>
        <w:ind w:left="0" w:firstLine="0"/>
        <w:jc w:val="left"/>
      </w:pPr>
      <w:r>
        <w:t xml:space="preserve"> </w:t>
      </w:r>
    </w:p>
    <w:p w14:paraId="7EA34305" w14:textId="6FA65E1C" w:rsidR="00AF38F8" w:rsidRDefault="005F7BA6" w:rsidP="003B4C38">
      <w:pPr>
        <w:ind w:left="-5"/>
        <w:rPr>
          <w:rFonts w:eastAsiaTheme="minorEastAsia"/>
          <w:lang w:eastAsia="zh-CN"/>
        </w:rPr>
      </w:pPr>
      <w:r>
        <w:t>The VP-Conference collects applications</w:t>
      </w:r>
      <w:r w:rsidR="000257DD">
        <w:t xml:space="preserve">.  </w:t>
      </w:r>
      <w:r w:rsidR="00AF38F8" w:rsidRPr="00AF38F8">
        <w:t xml:space="preserve">Ideally, </w:t>
      </w:r>
      <w:r w:rsidR="00802A5B">
        <w:t xml:space="preserve">at least two applications should be </w:t>
      </w:r>
      <w:r w:rsidR="00AF38F8" w:rsidRPr="00AF38F8">
        <w:t>shortlisted for bidding presentation</w:t>
      </w:r>
      <w:r w:rsidR="003B4C38">
        <w:t>s</w:t>
      </w:r>
      <w:r w:rsidR="00AF38F8" w:rsidRPr="00AF38F8">
        <w:t xml:space="preserve"> each year.</w:t>
      </w:r>
    </w:p>
    <w:p w14:paraId="06E13F06" w14:textId="77777777" w:rsidR="00AF38F8" w:rsidRPr="00AF38F8" w:rsidRDefault="00AF38F8" w:rsidP="00AF38F8">
      <w:pPr>
        <w:ind w:firstLine="0"/>
        <w:rPr>
          <w:rFonts w:eastAsiaTheme="minorEastAsia"/>
          <w:lang w:eastAsia="zh-CN"/>
        </w:rPr>
      </w:pPr>
    </w:p>
    <w:p w14:paraId="5080F162" w14:textId="5C75403F" w:rsidR="00AF38F8" w:rsidRPr="00AF38F8" w:rsidRDefault="009B4A81">
      <w:pPr>
        <w:numPr>
          <w:ilvl w:val="0"/>
          <w:numId w:val="2"/>
        </w:numPr>
      </w:pPr>
      <w:r w:rsidRPr="009B4A81">
        <w:rPr>
          <w:b/>
        </w:rPr>
        <w:t>Multi-turn</w:t>
      </w:r>
      <w:r>
        <w:rPr>
          <w:rFonts w:eastAsiaTheme="minorEastAsia" w:hint="eastAsia"/>
          <w:b/>
          <w:lang w:eastAsia="zh-CN"/>
        </w:rPr>
        <w:t xml:space="preserve"> </w:t>
      </w:r>
      <w:r w:rsidR="000257DD">
        <w:rPr>
          <w:b/>
        </w:rPr>
        <w:t>Discussion</w:t>
      </w:r>
      <w:r w:rsidR="003B4C38">
        <w:rPr>
          <w:b/>
        </w:rPr>
        <w:t>s</w:t>
      </w:r>
    </w:p>
    <w:p w14:paraId="50FC46D6" w14:textId="5BE2ECBD" w:rsidR="00720185" w:rsidRDefault="0017771D" w:rsidP="0017771D">
      <w:pPr>
        <w:ind w:left="720" w:firstLine="0"/>
        <w:rPr>
          <w:rFonts w:eastAsiaTheme="minorEastAsia"/>
          <w:lang w:eastAsia="zh-CN"/>
        </w:rPr>
      </w:pPr>
      <w:r w:rsidRPr="0017771D">
        <w:t xml:space="preserve">After receiving the applications, several rounds of discussions may </w:t>
      </w:r>
      <w:r w:rsidR="003B4C38">
        <w:t xml:space="preserve">be held </w:t>
      </w:r>
      <w:r w:rsidRPr="0017771D">
        <w:t xml:space="preserve">among ACB members and </w:t>
      </w:r>
      <w:r w:rsidR="003B4C38">
        <w:t xml:space="preserve">with </w:t>
      </w:r>
      <w:r w:rsidRPr="0017771D">
        <w:t xml:space="preserve">applicants to </w:t>
      </w:r>
      <w:r w:rsidR="003A4F3B">
        <w:t xml:space="preserve">refine </w:t>
      </w:r>
      <w:r w:rsidRPr="0017771D">
        <w:t xml:space="preserve">their </w:t>
      </w:r>
      <w:r w:rsidR="003B4C38">
        <w:t>proposals</w:t>
      </w:r>
      <w:r w:rsidRPr="0017771D">
        <w:t xml:space="preserve">. </w:t>
      </w:r>
    </w:p>
    <w:p w14:paraId="1B198EFE" w14:textId="77777777" w:rsidR="0017771D" w:rsidRPr="0017771D" w:rsidRDefault="0017771D" w:rsidP="00AF38F8">
      <w:pPr>
        <w:ind w:firstLine="0"/>
        <w:rPr>
          <w:rFonts w:eastAsiaTheme="minorEastAsia"/>
          <w:lang w:eastAsia="zh-CN"/>
        </w:rPr>
      </w:pPr>
    </w:p>
    <w:p w14:paraId="3DA36E05" w14:textId="77777777" w:rsidR="009B4A81" w:rsidRPr="009B4A81" w:rsidRDefault="000257DD">
      <w:pPr>
        <w:numPr>
          <w:ilvl w:val="0"/>
          <w:numId w:val="2"/>
        </w:numPr>
      </w:pPr>
      <w:r>
        <w:rPr>
          <w:b/>
        </w:rPr>
        <w:t>Bidding Presentation</w:t>
      </w:r>
    </w:p>
    <w:p w14:paraId="5A3C9758" w14:textId="235DA29B" w:rsidR="009B4A81" w:rsidRDefault="009B4A81" w:rsidP="009B4A81">
      <w:pPr>
        <w:ind w:left="720" w:firstLine="0"/>
        <w:rPr>
          <w:rFonts w:eastAsiaTheme="minorEastAsia"/>
          <w:lang w:eastAsia="zh-CN"/>
        </w:rPr>
      </w:pPr>
      <w:r w:rsidRPr="009B4A81">
        <w:t xml:space="preserve">The ACB will arrange </w:t>
      </w:r>
      <w:r w:rsidR="003A4F3B">
        <w:t xml:space="preserve">for applicants to present their </w:t>
      </w:r>
      <w:r w:rsidR="003B4C38">
        <w:t>proposals</w:t>
      </w:r>
      <w:r w:rsidR="003A4F3B">
        <w:t xml:space="preserve"> at a specific</w:t>
      </w:r>
      <w:r w:rsidRPr="009B4A81">
        <w:t xml:space="preserve"> APSIPA Conference Board meeting, usually held during an APSIPA</w:t>
      </w:r>
      <w:r w:rsidR="00D044D8">
        <w:rPr>
          <w:rFonts w:eastAsiaTheme="minorEastAsia" w:hint="eastAsia"/>
          <w:lang w:eastAsia="zh-CN"/>
        </w:rPr>
        <w:t xml:space="preserve"> </w:t>
      </w:r>
      <w:r w:rsidRPr="009B4A81">
        <w:t xml:space="preserve">ASC. </w:t>
      </w:r>
      <w:r w:rsidR="003B4C38">
        <w:t>A</w:t>
      </w:r>
      <w:r w:rsidRPr="009B4A81">
        <w:t>CB members will vote after the bidding presentations</w:t>
      </w:r>
      <w:r w:rsidR="00F1264A">
        <w:t xml:space="preserve"> and</w:t>
      </w:r>
      <w:r w:rsidRPr="009B4A81">
        <w:t xml:space="preserve"> decide on a recommended candidate and a reserved candidate (if any). </w:t>
      </w:r>
    </w:p>
    <w:p w14:paraId="0F83252F" w14:textId="77777777" w:rsidR="009B4A81" w:rsidRPr="009B4A81" w:rsidRDefault="009B4A81" w:rsidP="009B4A81">
      <w:pPr>
        <w:ind w:left="720" w:firstLine="0"/>
        <w:rPr>
          <w:rFonts w:eastAsiaTheme="minorEastAsia"/>
          <w:lang w:eastAsia="zh-CN"/>
        </w:rPr>
      </w:pPr>
    </w:p>
    <w:p w14:paraId="4D288432" w14:textId="77777777" w:rsidR="00D044D8" w:rsidRPr="00D044D8" w:rsidRDefault="000257DD">
      <w:pPr>
        <w:numPr>
          <w:ilvl w:val="0"/>
          <w:numId w:val="2"/>
        </w:numPr>
      </w:pPr>
      <w:r>
        <w:rPr>
          <w:b/>
        </w:rPr>
        <w:t xml:space="preserve">Approval from </w:t>
      </w:r>
      <w:proofErr w:type="spellStart"/>
      <w:r>
        <w:rPr>
          <w:b/>
        </w:rPr>
        <w:t>BoG</w:t>
      </w:r>
      <w:proofErr w:type="spellEnd"/>
      <w:r>
        <w:rPr>
          <w:b/>
        </w:rPr>
        <w:t xml:space="preserve"> and President</w:t>
      </w:r>
    </w:p>
    <w:p w14:paraId="37812C28" w14:textId="3BA79482" w:rsidR="00D044D8" w:rsidRDefault="00D044D8" w:rsidP="00D044D8">
      <w:pPr>
        <w:ind w:left="720" w:firstLine="0"/>
        <w:rPr>
          <w:rFonts w:eastAsiaTheme="minorEastAsia"/>
          <w:lang w:eastAsia="zh-CN"/>
        </w:rPr>
      </w:pPr>
      <w:r w:rsidRPr="00D044D8">
        <w:t xml:space="preserve">Based on the voting results, </w:t>
      </w:r>
      <w:r w:rsidR="00F1264A">
        <w:t>a</w:t>
      </w:r>
      <w:r w:rsidRPr="00D044D8">
        <w:t xml:space="preserve"> candidate summary will be sent to the </w:t>
      </w:r>
      <w:proofErr w:type="spellStart"/>
      <w:r w:rsidRPr="00D044D8">
        <w:t>BoG</w:t>
      </w:r>
      <w:proofErr w:type="spellEnd"/>
      <w:r w:rsidRPr="00D044D8">
        <w:t xml:space="preserve"> and the President for final approval. </w:t>
      </w:r>
      <w:r w:rsidR="00F1264A">
        <w:t xml:space="preserve">The </w:t>
      </w:r>
      <w:r w:rsidRPr="00D044D8">
        <w:t xml:space="preserve">VP-Conference will give a summary of the ACB meeting results and seek final approval of the recommendation in one of the </w:t>
      </w:r>
      <w:proofErr w:type="spellStart"/>
      <w:r w:rsidRPr="00D044D8">
        <w:t>BoG</w:t>
      </w:r>
      <w:proofErr w:type="spellEnd"/>
      <w:r w:rsidRPr="00D044D8">
        <w:t xml:space="preserve"> meetings</w:t>
      </w:r>
      <w:r w:rsidR="009567B8">
        <w:t xml:space="preserve"> chaired by </w:t>
      </w:r>
      <w:r w:rsidRPr="00D044D8">
        <w:t xml:space="preserve">the President. </w:t>
      </w:r>
    </w:p>
    <w:p w14:paraId="0016B2C7" w14:textId="5E8B5CCF" w:rsidR="00D044D8" w:rsidRPr="00D044D8" w:rsidRDefault="00D044D8" w:rsidP="00D044D8">
      <w:pPr>
        <w:ind w:firstLine="0"/>
        <w:rPr>
          <w:rFonts w:eastAsiaTheme="minorEastAsia"/>
          <w:lang w:eastAsia="zh-CN"/>
        </w:rPr>
      </w:pPr>
    </w:p>
    <w:p w14:paraId="6878B831" w14:textId="06C5C7FA" w:rsidR="00C47676" w:rsidRPr="00C47676" w:rsidRDefault="000257DD">
      <w:pPr>
        <w:numPr>
          <w:ilvl w:val="0"/>
          <w:numId w:val="2"/>
        </w:numPr>
      </w:pPr>
      <w:r>
        <w:rPr>
          <w:b/>
        </w:rPr>
        <w:lastRenderedPageBreak/>
        <w:t xml:space="preserve">Signing of the </w:t>
      </w:r>
      <w:r w:rsidR="00C47676">
        <w:rPr>
          <w:rFonts w:eastAsiaTheme="minorEastAsia" w:hint="eastAsia"/>
          <w:b/>
          <w:lang w:eastAsia="zh-CN"/>
        </w:rPr>
        <w:t>C</w:t>
      </w:r>
      <w:r>
        <w:rPr>
          <w:b/>
        </w:rPr>
        <w:t>ontract</w:t>
      </w:r>
    </w:p>
    <w:p w14:paraId="6C8FE9BB" w14:textId="28D39DC3" w:rsidR="0074081E" w:rsidRDefault="0074081E" w:rsidP="0074081E">
      <w:pPr>
        <w:spacing w:after="0" w:line="259" w:lineRule="auto"/>
        <w:ind w:left="720" w:firstLine="0"/>
        <w:jc w:val="left"/>
      </w:pPr>
      <w:r w:rsidRPr="0074081E">
        <w:t xml:space="preserve">The </w:t>
      </w:r>
      <w:r w:rsidR="00D93C16">
        <w:t>selected organizer</w:t>
      </w:r>
      <w:r w:rsidRPr="0074081E">
        <w:t xml:space="preserve"> should </w:t>
      </w:r>
      <w:r w:rsidR="005F2368">
        <w:t xml:space="preserve">prepare </w:t>
      </w:r>
      <w:r w:rsidR="00CE1E0F">
        <w:t>a</w:t>
      </w:r>
      <w:r w:rsidR="005F2368">
        <w:t xml:space="preserve"> budget for the </w:t>
      </w:r>
      <w:r w:rsidR="00CE1E0F">
        <w:t xml:space="preserve">President’s </w:t>
      </w:r>
      <w:r w:rsidR="005F2368">
        <w:t xml:space="preserve">approval. </w:t>
      </w:r>
      <w:r w:rsidR="009567B8">
        <w:t>Once</w:t>
      </w:r>
      <w:r w:rsidR="00CE1E0F">
        <w:t xml:space="preserve"> </w:t>
      </w:r>
      <w:r w:rsidR="005F2368">
        <w:t>approv</w:t>
      </w:r>
      <w:r w:rsidR="009567B8">
        <w:t>ed</w:t>
      </w:r>
      <w:r w:rsidR="005F2368">
        <w:t>, the organizer sh</w:t>
      </w:r>
      <w:r w:rsidR="009567B8">
        <w:t>all</w:t>
      </w:r>
      <w:r w:rsidR="005F2368">
        <w:t xml:space="preserve"> sign</w:t>
      </w:r>
      <w:r w:rsidRPr="0074081E">
        <w:t xml:space="preserve"> the contract </w:t>
      </w:r>
      <w:r w:rsidR="00D93C16">
        <w:t>with</w:t>
      </w:r>
      <w:r w:rsidRPr="0074081E">
        <w:t xml:space="preserve"> the APSIPA President on behalf of APSIPA Headquarters. </w:t>
      </w:r>
    </w:p>
    <w:p w14:paraId="63E6A536" w14:textId="77777777" w:rsidR="00FF5763" w:rsidRDefault="00FF5763" w:rsidP="0074081E">
      <w:pPr>
        <w:spacing w:after="0" w:line="259" w:lineRule="auto"/>
        <w:ind w:left="720" w:firstLine="0"/>
        <w:jc w:val="left"/>
      </w:pPr>
    </w:p>
    <w:p w14:paraId="6214C0E8" w14:textId="71FCFA19" w:rsidR="00FF5763" w:rsidRDefault="00FF5763" w:rsidP="0074081E">
      <w:pPr>
        <w:spacing w:after="0" w:line="259" w:lineRule="auto"/>
        <w:ind w:left="720" w:firstLine="0"/>
        <w:jc w:val="left"/>
        <w:rPr>
          <w:rFonts w:eastAsiaTheme="minorEastAsia"/>
          <w:lang w:eastAsia="zh-CN"/>
        </w:rPr>
      </w:pPr>
      <w:r>
        <w:t xml:space="preserve">If the organizer fails to comply with the established procedures and rules, the APSIPA </w:t>
      </w:r>
      <w:proofErr w:type="spellStart"/>
      <w:r>
        <w:t>BoG</w:t>
      </w:r>
      <w:proofErr w:type="spellEnd"/>
      <w:r>
        <w:t xml:space="preserve"> reserves the right to revoke the concession for hosting the ASC.</w:t>
      </w:r>
    </w:p>
    <w:p w14:paraId="2F8CF6F1" w14:textId="55EC7D4D" w:rsidR="00720185" w:rsidRDefault="000257DD">
      <w:pPr>
        <w:spacing w:after="0" w:line="259" w:lineRule="auto"/>
        <w:ind w:left="0" w:firstLine="0"/>
        <w:jc w:val="left"/>
      </w:pPr>
      <w:r>
        <w:t xml:space="preserve"> </w:t>
      </w:r>
    </w:p>
    <w:p w14:paraId="7ADC211A" w14:textId="77777777" w:rsidR="009567B8" w:rsidRDefault="009567B8">
      <w:pPr>
        <w:spacing w:after="0" w:line="259" w:lineRule="auto"/>
        <w:ind w:left="0" w:firstLine="0"/>
        <w:jc w:val="left"/>
      </w:pPr>
    </w:p>
    <w:p w14:paraId="4DEA3B77" w14:textId="23BA1A91" w:rsidR="00720185" w:rsidRPr="009567B8" w:rsidRDefault="009567B8" w:rsidP="009567B8">
      <w:pPr>
        <w:pStyle w:val="Heading1"/>
        <w:rPr>
          <w:b/>
          <w:bCs/>
          <w:color w:val="000000" w:themeColor="text1"/>
          <w:sz w:val="28"/>
          <w:szCs w:val="28"/>
        </w:rPr>
      </w:pPr>
      <w:r w:rsidRPr="009567B8">
        <w:rPr>
          <w:b/>
          <w:bCs/>
          <w:color w:val="000000" w:themeColor="text1"/>
          <w:sz w:val="28"/>
          <w:szCs w:val="28"/>
        </w:rPr>
        <w:t xml:space="preserve">5. </w:t>
      </w:r>
      <w:r w:rsidR="000257DD" w:rsidRPr="009567B8">
        <w:rPr>
          <w:b/>
          <w:bCs/>
          <w:color w:val="000000" w:themeColor="text1"/>
          <w:sz w:val="28"/>
          <w:szCs w:val="28"/>
        </w:rPr>
        <w:t xml:space="preserve">Pre- and </w:t>
      </w:r>
      <w:r w:rsidR="004107FA" w:rsidRPr="009567B8">
        <w:rPr>
          <w:rFonts w:eastAsiaTheme="minorEastAsia" w:hint="eastAsia"/>
          <w:b/>
          <w:bCs/>
          <w:color w:val="000000" w:themeColor="text1"/>
          <w:sz w:val="28"/>
          <w:szCs w:val="28"/>
          <w:lang w:eastAsia="zh-CN"/>
        </w:rPr>
        <w:t>P</w:t>
      </w:r>
      <w:r w:rsidR="000257DD" w:rsidRPr="009567B8">
        <w:rPr>
          <w:b/>
          <w:bCs/>
          <w:color w:val="000000" w:themeColor="text1"/>
          <w:sz w:val="28"/>
          <w:szCs w:val="28"/>
        </w:rPr>
        <w:t>ost-</w:t>
      </w:r>
      <w:r w:rsidRPr="009567B8">
        <w:rPr>
          <w:b/>
          <w:bCs/>
          <w:color w:val="000000" w:themeColor="text1"/>
          <w:sz w:val="28"/>
          <w:szCs w:val="28"/>
        </w:rPr>
        <w:t>Conference Responsibilities</w:t>
      </w:r>
    </w:p>
    <w:p w14:paraId="2DF81BC0" w14:textId="77777777" w:rsidR="00720185" w:rsidRDefault="000257DD">
      <w:pPr>
        <w:spacing w:after="0" w:line="259" w:lineRule="auto"/>
        <w:ind w:left="0" w:firstLine="0"/>
        <w:jc w:val="left"/>
      </w:pPr>
      <w:r>
        <w:t xml:space="preserve"> </w:t>
      </w:r>
    </w:p>
    <w:p w14:paraId="224D4E39" w14:textId="75EB1675" w:rsidR="00720185" w:rsidRDefault="009958CD">
      <w:pPr>
        <w:ind w:left="-5"/>
      </w:pPr>
      <w:r w:rsidRPr="009958CD">
        <w:t>After approv</w:t>
      </w:r>
      <w:r w:rsidR="009567B8">
        <w:t>al</w:t>
      </w:r>
      <w:r w:rsidRPr="009958CD">
        <w:t xml:space="preserve">, the ASC organizer should work with the ACB to </w:t>
      </w:r>
      <w:r>
        <w:t>refine the organizing plan, including publicity, call for papers</w:t>
      </w:r>
      <w:r w:rsidR="009567B8">
        <w:t>, call for</w:t>
      </w:r>
      <w:r>
        <w:t xml:space="preserve"> financial sponsors, invitations to plenary speakers, budget updates</w:t>
      </w:r>
      <w:r w:rsidRPr="009958CD">
        <w:t>, and so on. The organizer is also expected to attend and provide progress update</w:t>
      </w:r>
      <w:r w:rsidR="009567B8">
        <w:t>s</w:t>
      </w:r>
      <w:r w:rsidRPr="009958CD">
        <w:t xml:space="preserve"> at each APSIPA Conference Board meeting before the </w:t>
      </w:r>
      <w:r>
        <w:t>year in which the organizer will host</w:t>
      </w:r>
      <w:r w:rsidRPr="009958CD">
        <w:t xml:space="preserve"> the ASC conference</w:t>
      </w:r>
      <w:r w:rsidR="000257DD">
        <w:t xml:space="preserve">. </w:t>
      </w:r>
    </w:p>
    <w:p w14:paraId="0ABEA066" w14:textId="77777777" w:rsidR="00720185" w:rsidRDefault="000257DD">
      <w:pPr>
        <w:spacing w:after="0" w:line="259" w:lineRule="auto"/>
        <w:ind w:left="0" w:firstLine="0"/>
        <w:jc w:val="left"/>
      </w:pPr>
      <w:r>
        <w:t xml:space="preserve"> </w:t>
      </w:r>
    </w:p>
    <w:p w14:paraId="29C404F5" w14:textId="190DB3C0" w:rsidR="00720185" w:rsidRDefault="005A6F05">
      <w:pPr>
        <w:spacing w:after="0" w:line="259" w:lineRule="auto"/>
        <w:ind w:left="0" w:firstLine="0"/>
        <w:jc w:val="left"/>
      </w:pPr>
      <w:r w:rsidRPr="005A6F05">
        <w:t xml:space="preserve">After the ASC conference, the organizer </w:t>
      </w:r>
      <w:r w:rsidR="00693DF9">
        <w:t>must</w:t>
      </w:r>
      <w:r w:rsidRPr="005A6F05">
        <w:t xml:space="preserve"> submit a final report to the ACB and the </w:t>
      </w:r>
      <w:proofErr w:type="spellStart"/>
      <w:r w:rsidRPr="005A6F05">
        <w:t>BoG</w:t>
      </w:r>
      <w:proofErr w:type="spellEnd"/>
      <w:r w:rsidRPr="005A6F05">
        <w:t xml:space="preserve">, including </w:t>
      </w:r>
      <w:r w:rsidR="00693DF9">
        <w:t>detailed</w:t>
      </w:r>
      <w:r w:rsidRPr="005A6F05">
        <w:t xml:space="preserve"> statistics and financial </w:t>
      </w:r>
      <w:r w:rsidR="00693DF9">
        <w:t>reports</w:t>
      </w:r>
      <w:r w:rsidR="005E466B">
        <w:t xml:space="preserve">. The APSIPA handling fee and registration fees </w:t>
      </w:r>
      <w:r w:rsidR="00693DF9">
        <w:t>must be</w:t>
      </w:r>
      <w:r w:rsidR="005E466B">
        <w:t xml:space="preserve"> transferred to APSIPA no later than three months after the conference</w:t>
      </w:r>
      <w:r w:rsidRPr="005A6F05">
        <w:t>.</w:t>
      </w:r>
      <w:r w:rsidR="000257DD">
        <w:rPr>
          <w:rFonts w:ascii="Calibri" w:eastAsia="Calibri" w:hAnsi="Calibri" w:cs="Calibri"/>
        </w:rPr>
        <w:t xml:space="preserve"> </w:t>
      </w:r>
    </w:p>
    <w:sectPr w:rsidR="00720185">
      <w:pgSz w:w="12240" w:h="15840"/>
      <w:pgMar w:top="1401" w:right="1435" w:bottom="15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BB35" w14:textId="77777777" w:rsidR="00EB4BC9" w:rsidRDefault="00EB4BC9" w:rsidP="009E2D00">
      <w:pPr>
        <w:spacing w:after="0" w:line="240" w:lineRule="auto"/>
      </w:pPr>
      <w:r>
        <w:separator/>
      </w:r>
    </w:p>
  </w:endnote>
  <w:endnote w:type="continuationSeparator" w:id="0">
    <w:p w14:paraId="2E2578D4" w14:textId="77777777" w:rsidR="00EB4BC9" w:rsidRDefault="00EB4BC9" w:rsidP="009E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6AE8" w14:textId="77777777" w:rsidR="00EB4BC9" w:rsidRDefault="00EB4BC9" w:rsidP="009E2D00">
      <w:pPr>
        <w:spacing w:after="0" w:line="240" w:lineRule="auto"/>
      </w:pPr>
      <w:r>
        <w:separator/>
      </w:r>
    </w:p>
  </w:footnote>
  <w:footnote w:type="continuationSeparator" w:id="0">
    <w:p w14:paraId="201AAE37" w14:textId="77777777" w:rsidR="00EB4BC9" w:rsidRDefault="00EB4BC9" w:rsidP="009E2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visibility:visible;mso-wrap-style:square" o:bullet="t">
        <v:imagedata r:id="rId1" o:title=""/>
      </v:shape>
    </w:pict>
  </w:numPicBullet>
  <w:abstractNum w:abstractNumId="0" w15:restartNumberingAfterBreak="0">
    <w:nsid w:val="0BF2754C"/>
    <w:multiLevelType w:val="hybridMultilevel"/>
    <w:tmpl w:val="6526F51E"/>
    <w:lvl w:ilvl="0" w:tplc="3C090013">
      <w:start w:val="1"/>
      <w:numFmt w:val="upperRoman"/>
      <w:lvlText w:val="%1."/>
      <w:lvlJc w:val="right"/>
      <w:pPr>
        <w:ind w:left="705" w:hanging="360"/>
      </w:pPr>
    </w:lvl>
    <w:lvl w:ilvl="1" w:tplc="3C090019" w:tentative="1">
      <w:start w:val="1"/>
      <w:numFmt w:val="lowerLetter"/>
      <w:lvlText w:val="%2."/>
      <w:lvlJc w:val="left"/>
      <w:pPr>
        <w:ind w:left="1425" w:hanging="360"/>
      </w:pPr>
    </w:lvl>
    <w:lvl w:ilvl="2" w:tplc="3C09001B" w:tentative="1">
      <w:start w:val="1"/>
      <w:numFmt w:val="lowerRoman"/>
      <w:lvlText w:val="%3."/>
      <w:lvlJc w:val="right"/>
      <w:pPr>
        <w:ind w:left="2145" w:hanging="180"/>
      </w:pPr>
    </w:lvl>
    <w:lvl w:ilvl="3" w:tplc="3C09000F" w:tentative="1">
      <w:start w:val="1"/>
      <w:numFmt w:val="decimal"/>
      <w:lvlText w:val="%4."/>
      <w:lvlJc w:val="left"/>
      <w:pPr>
        <w:ind w:left="2865" w:hanging="360"/>
      </w:pPr>
    </w:lvl>
    <w:lvl w:ilvl="4" w:tplc="3C090019" w:tentative="1">
      <w:start w:val="1"/>
      <w:numFmt w:val="lowerLetter"/>
      <w:lvlText w:val="%5."/>
      <w:lvlJc w:val="left"/>
      <w:pPr>
        <w:ind w:left="3585" w:hanging="360"/>
      </w:pPr>
    </w:lvl>
    <w:lvl w:ilvl="5" w:tplc="3C09001B" w:tentative="1">
      <w:start w:val="1"/>
      <w:numFmt w:val="lowerRoman"/>
      <w:lvlText w:val="%6."/>
      <w:lvlJc w:val="right"/>
      <w:pPr>
        <w:ind w:left="4305" w:hanging="180"/>
      </w:pPr>
    </w:lvl>
    <w:lvl w:ilvl="6" w:tplc="3C09000F" w:tentative="1">
      <w:start w:val="1"/>
      <w:numFmt w:val="decimal"/>
      <w:lvlText w:val="%7."/>
      <w:lvlJc w:val="left"/>
      <w:pPr>
        <w:ind w:left="5025" w:hanging="360"/>
      </w:pPr>
    </w:lvl>
    <w:lvl w:ilvl="7" w:tplc="3C090019" w:tentative="1">
      <w:start w:val="1"/>
      <w:numFmt w:val="lowerLetter"/>
      <w:lvlText w:val="%8."/>
      <w:lvlJc w:val="left"/>
      <w:pPr>
        <w:ind w:left="5745" w:hanging="360"/>
      </w:pPr>
    </w:lvl>
    <w:lvl w:ilvl="8" w:tplc="3C09001B" w:tentative="1">
      <w:start w:val="1"/>
      <w:numFmt w:val="lowerRoman"/>
      <w:lvlText w:val="%9."/>
      <w:lvlJc w:val="right"/>
      <w:pPr>
        <w:ind w:left="6465" w:hanging="180"/>
      </w:pPr>
    </w:lvl>
  </w:abstractNum>
  <w:abstractNum w:abstractNumId="1" w15:restartNumberingAfterBreak="0">
    <w:nsid w:val="38A67543"/>
    <w:multiLevelType w:val="hybridMultilevel"/>
    <w:tmpl w:val="CFAA4E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BAB3128"/>
    <w:multiLevelType w:val="hybridMultilevel"/>
    <w:tmpl w:val="B5F649E0"/>
    <w:lvl w:ilvl="0" w:tplc="EA14BB26">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C0D652">
      <w:start w:val="1"/>
      <w:numFmt w:val="bullet"/>
      <w:lvlText w:val="o"/>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40DA2">
      <w:start w:val="1"/>
      <w:numFmt w:val="bullet"/>
      <w:lvlText w:val="▪"/>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E5FB2">
      <w:start w:val="1"/>
      <w:numFmt w:val="bullet"/>
      <w:lvlText w:val="•"/>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83EBE">
      <w:start w:val="1"/>
      <w:numFmt w:val="bullet"/>
      <w:lvlText w:val="o"/>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24B00">
      <w:start w:val="1"/>
      <w:numFmt w:val="bullet"/>
      <w:lvlText w:val="▪"/>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64EEE">
      <w:start w:val="1"/>
      <w:numFmt w:val="bullet"/>
      <w:lvlText w:val="•"/>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4C22C">
      <w:start w:val="1"/>
      <w:numFmt w:val="bullet"/>
      <w:lvlText w:val="o"/>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A38EC">
      <w:start w:val="1"/>
      <w:numFmt w:val="bullet"/>
      <w:lvlText w:val="▪"/>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C74BE3"/>
    <w:multiLevelType w:val="hybridMultilevel"/>
    <w:tmpl w:val="3552E640"/>
    <w:lvl w:ilvl="0" w:tplc="CE3A225C">
      <w:start w:val="1"/>
      <w:numFmt w:val="bullet"/>
      <w:lvlText w:val=""/>
      <w:lvlPicBulletId w:val="0"/>
      <w:lvlJc w:val="left"/>
      <w:pPr>
        <w:tabs>
          <w:tab w:val="num" w:pos="720"/>
        </w:tabs>
        <w:ind w:left="720" w:hanging="360"/>
      </w:pPr>
      <w:rPr>
        <w:rFonts w:ascii="Symbol" w:hAnsi="Symbol" w:hint="default"/>
      </w:rPr>
    </w:lvl>
    <w:lvl w:ilvl="1" w:tplc="A0A20A08" w:tentative="1">
      <w:start w:val="1"/>
      <w:numFmt w:val="bullet"/>
      <w:lvlText w:val=""/>
      <w:lvlJc w:val="left"/>
      <w:pPr>
        <w:tabs>
          <w:tab w:val="num" w:pos="1440"/>
        </w:tabs>
        <w:ind w:left="1440" w:hanging="360"/>
      </w:pPr>
      <w:rPr>
        <w:rFonts w:ascii="Symbol" w:hAnsi="Symbol" w:hint="default"/>
      </w:rPr>
    </w:lvl>
    <w:lvl w:ilvl="2" w:tplc="20142552" w:tentative="1">
      <w:start w:val="1"/>
      <w:numFmt w:val="bullet"/>
      <w:lvlText w:val=""/>
      <w:lvlJc w:val="left"/>
      <w:pPr>
        <w:tabs>
          <w:tab w:val="num" w:pos="2160"/>
        </w:tabs>
        <w:ind w:left="2160" w:hanging="360"/>
      </w:pPr>
      <w:rPr>
        <w:rFonts w:ascii="Symbol" w:hAnsi="Symbol" w:hint="default"/>
      </w:rPr>
    </w:lvl>
    <w:lvl w:ilvl="3" w:tplc="250CA1C0" w:tentative="1">
      <w:start w:val="1"/>
      <w:numFmt w:val="bullet"/>
      <w:lvlText w:val=""/>
      <w:lvlJc w:val="left"/>
      <w:pPr>
        <w:tabs>
          <w:tab w:val="num" w:pos="2880"/>
        </w:tabs>
        <w:ind w:left="2880" w:hanging="360"/>
      </w:pPr>
      <w:rPr>
        <w:rFonts w:ascii="Symbol" w:hAnsi="Symbol" w:hint="default"/>
      </w:rPr>
    </w:lvl>
    <w:lvl w:ilvl="4" w:tplc="E83848E2" w:tentative="1">
      <w:start w:val="1"/>
      <w:numFmt w:val="bullet"/>
      <w:lvlText w:val=""/>
      <w:lvlJc w:val="left"/>
      <w:pPr>
        <w:tabs>
          <w:tab w:val="num" w:pos="3600"/>
        </w:tabs>
        <w:ind w:left="3600" w:hanging="360"/>
      </w:pPr>
      <w:rPr>
        <w:rFonts w:ascii="Symbol" w:hAnsi="Symbol" w:hint="default"/>
      </w:rPr>
    </w:lvl>
    <w:lvl w:ilvl="5" w:tplc="6BC84A88" w:tentative="1">
      <w:start w:val="1"/>
      <w:numFmt w:val="bullet"/>
      <w:lvlText w:val=""/>
      <w:lvlJc w:val="left"/>
      <w:pPr>
        <w:tabs>
          <w:tab w:val="num" w:pos="4320"/>
        </w:tabs>
        <w:ind w:left="4320" w:hanging="360"/>
      </w:pPr>
      <w:rPr>
        <w:rFonts w:ascii="Symbol" w:hAnsi="Symbol" w:hint="default"/>
      </w:rPr>
    </w:lvl>
    <w:lvl w:ilvl="6" w:tplc="C12C4018" w:tentative="1">
      <w:start w:val="1"/>
      <w:numFmt w:val="bullet"/>
      <w:lvlText w:val=""/>
      <w:lvlJc w:val="left"/>
      <w:pPr>
        <w:tabs>
          <w:tab w:val="num" w:pos="5040"/>
        </w:tabs>
        <w:ind w:left="5040" w:hanging="360"/>
      </w:pPr>
      <w:rPr>
        <w:rFonts w:ascii="Symbol" w:hAnsi="Symbol" w:hint="default"/>
      </w:rPr>
    </w:lvl>
    <w:lvl w:ilvl="7" w:tplc="53846922" w:tentative="1">
      <w:start w:val="1"/>
      <w:numFmt w:val="bullet"/>
      <w:lvlText w:val=""/>
      <w:lvlJc w:val="left"/>
      <w:pPr>
        <w:tabs>
          <w:tab w:val="num" w:pos="5760"/>
        </w:tabs>
        <w:ind w:left="5760" w:hanging="360"/>
      </w:pPr>
      <w:rPr>
        <w:rFonts w:ascii="Symbol" w:hAnsi="Symbol" w:hint="default"/>
      </w:rPr>
    </w:lvl>
    <w:lvl w:ilvl="8" w:tplc="B8D8AE0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AE47D98"/>
    <w:multiLevelType w:val="hybridMultilevel"/>
    <w:tmpl w:val="D056FD4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6F7E11B4"/>
    <w:multiLevelType w:val="hybridMultilevel"/>
    <w:tmpl w:val="F2E0FD64"/>
    <w:lvl w:ilvl="0" w:tplc="310027A8">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6" w15:restartNumberingAfterBreak="0">
    <w:nsid w:val="710E69C7"/>
    <w:multiLevelType w:val="hybridMultilevel"/>
    <w:tmpl w:val="7DA0DAFA"/>
    <w:lvl w:ilvl="0" w:tplc="3C090013">
      <w:start w:val="1"/>
      <w:numFmt w:val="upperRoman"/>
      <w:lvlText w:val="%1."/>
      <w:lvlJc w:val="right"/>
      <w:pPr>
        <w:ind w:left="705" w:hanging="360"/>
      </w:pPr>
    </w:lvl>
    <w:lvl w:ilvl="1" w:tplc="3C090019" w:tentative="1">
      <w:start w:val="1"/>
      <w:numFmt w:val="lowerLetter"/>
      <w:lvlText w:val="%2."/>
      <w:lvlJc w:val="left"/>
      <w:pPr>
        <w:ind w:left="1425" w:hanging="360"/>
      </w:pPr>
    </w:lvl>
    <w:lvl w:ilvl="2" w:tplc="3C09001B" w:tentative="1">
      <w:start w:val="1"/>
      <w:numFmt w:val="lowerRoman"/>
      <w:lvlText w:val="%3."/>
      <w:lvlJc w:val="right"/>
      <w:pPr>
        <w:ind w:left="2145" w:hanging="180"/>
      </w:pPr>
    </w:lvl>
    <w:lvl w:ilvl="3" w:tplc="3C09000F" w:tentative="1">
      <w:start w:val="1"/>
      <w:numFmt w:val="decimal"/>
      <w:lvlText w:val="%4."/>
      <w:lvlJc w:val="left"/>
      <w:pPr>
        <w:ind w:left="2865" w:hanging="360"/>
      </w:pPr>
    </w:lvl>
    <w:lvl w:ilvl="4" w:tplc="3C090019" w:tentative="1">
      <w:start w:val="1"/>
      <w:numFmt w:val="lowerLetter"/>
      <w:lvlText w:val="%5."/>
      <w:lvlJc w:val="left"/>
      <w:pPr>
        <w:ind w:left="3585" w:hanging="360"/>
      </w:pPr>
    </w:lvl>
    <w:lvl w:ilvl="5" w:tplc="3C09001B" w:tentative="1">
      <w:start w:val="1"/>
      <w:numFmt w:val="lowerRoman"/>
      <w:lvlText w:val="%6."/>
      <w:lvlJc w:val="right"/>
      <w:pPr>
        <w:ind w:left="4305" w:hanging="180"/>
      </w:pPr>
    </w:lvl>
    <w:lvl w:ilvl="6" w:tplc="3C09000F" w:tentative="1">
      <w:start w:val="1"/>
      <w:numFmt w:val="decimal"/>
      <w:lvlText w:val="%7."/>
      <w:lvlJc w:val="left"/>
      <w:pPr>
        <w:ind w:left="5025" w:hanging="360"/>
      </w:pPr>
    </w:lvl>
    <w:lvl w:ilvl="7" w:tplc="3C090019" w:tentative="1">
      <w:start w:val="1"/>
      <w:numFmt w:val="lowerLetter"/>
      <w:lvlText w:val="%8."/>
      <w:lvlJc w:val="left"/>
      <w:pPr>
        <w:ind w:left="5745" w:hanging="360"/>
      </w:pPr>
    </w:lvl>
    <w:lvl w:ilvl="8" w:tplc="3C09001B" w:tentative="1">
      <w:start w:val="1"/>
      <w:numFmt w:val="lowerRoman"/>
      <w:lvlText w:val="%9."/>
      <w:lvlJc w:val="right"/>
      <w:pPr>
        <w:ind w:left="6465" w:hanging="180"/>
      </w:pPr>
    </w:lvl>
  </w:abstractNum>
  <w:abstractNum w:abstractNumId="7" w15:restartNumberingAfterBreak="0">
    <w:nsid w:val="75CD7F05"/>
    <w:multiLevelType w:val="hybridMultilevel"/>
    <w:tmpl w:val="4C12AE40"/>
    <w:lvl w:ilvl="0" w:tplc="3C090013">
      <w:start w:val="1"/>
      <w:numFmt w:val="upperRoman"/>
      <w:lvlText w:val="%1."/>
      <w:lvlJc w:val="right"/>
      <w:pPr>
        <w:ind w:left="705" w:hanging="360"/>
      </w:pPr>
    </w:lvl>
    <w:lvl w:ilvl="1" w:tplc="3C090019" w:tentative="1">
      <w:start w:val="1"/>
      <w:numFmt w:val="lowerLetter"/>
      <w:lvlText w:val="%2."/>
      <w:lvlJc w:val="left"/>
      <w:pPr>
        <w:ind w:left="1425" w:hanging="360"/>
      </w:pPr>
    </w:lvl>
    <w:lvl w:ilvl="2" w:tplc="3C09001B" w:tentative="1">
      <w:start w:val="1"/>
      <w:numFmt w:val="lowerRoman"/>
      <w:lvlText w:val="%3."/>
      <w:lvlJc w:val="right"/>
      <w:pPr>
        <w:ind w:left="2145" w:hanging="180"/>
      </w:pPr>
    </w:lvl>
    <w:lvl w:ilvl="3" w:tplc="3C09000F" w:tentative="1">
      <w:start w:val="1"/>
      <w:numFmt w:val="decimal"/>
      <w:lvlText w:val="%4."/>
      <w:lvlJc w:val="left"/>
      <w:pPr>
        <w:ind w:left="2865" w:hanging="360"/>
      </w:pPr>
    </w:lvl>
    <w:lvl w:ilvl="4" w:tplc="3C090019" w:tentative="1">
      <w:start w:val="1"/>
      <w:numFmt w:val="lowerLetter"/>
      <w:lvlText w:val="%5."/>
      <w:lvlJc w:val="left"/>
      <w:pPr>
        <w:ind w:left="3585" w:hanging="360"/>
      </w:pPr>
    </w:lvl>
    <w:lvl w:ilvl="5" w:tplc="3C09001B" w:tentative="1">
      <w:start w:val="1"/>
      <w:numFmt w:val="lowerRoman"/>
      <w:lvlText w:val="%6."/>
      <w:lvlJc w:val="right"/>
      <w:pPr>
        <w:ind w:left="4305" w:hanging="180"/>
      </w:pPr>
    </w:lvl>
    <w:lvl w:ilvl="6" w:tplc="3C09000F" w:tentative="1">
      <w:start w:val="1"/>
      <w:numFmt w:val="decimal"/>
      <w:lvlText w:val="%7."/>
      <w:lvlJc w:val="left"/>
      <w:pPr>
        <w:ind w:left="5025" w:hanging="360"/>
      </w:pPr>
    </w:lvl>
    <w:lvl w:ilvl="7" w:tplc="3C090019" w:tentative="1">
      <w:start w:val="1"/>
      <w:numFmt w:val="lowerLetter"/>
      <w:lvlText w:val="%8."/>
      <w:lvlJc w:val="left"/>
      <w:pPr>
        <w:ind w:left="5745" w:hanging="360"/>
      </w:pPr>
    </w:lvl>
    <w:lvl w:ilvl="8" w:tplc="3C09001B" w:tentative="1">
      <w:start w:val="1"/>
      <w:numFmt w:val="lowerRoman"/>
      <w:lvlText w:val="%9."/>
      <w:lvlJc w:val="right"/>
      <w:pPr>
        <w:ind w:left="6465" w:hanging="180"/>
      </w:pPr>
    </w:lvl>
  </w:abstractNum>
  <w:abstractNum w:abstractNumId="8" w15:restartNumberingAfterBreak="0">
    <w:nsid w:val="78397129"/>
    <w:multiLevelType w:val="hybridMultilevel"/>
    <w:tmpl w:val="92F09EE2"/>
    <w:lvl w:ilvl="0" w:tplc="EA14BB26">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EB249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C89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843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258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0AE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0A4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611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431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AB7130"/>
    <w:multiLevelType w:val="hybridMultilevel"/>
    <w:tmpl w:val="DA441FD2"/>
    <w:lvl w:ilvl="0" w:tplc="9CF6F040">
      <w:start w:val="1"/>
      <w:numFmt w:val="upperRoman"/>
      <w:lvlText w:val="%1."/>
      <w:lvlJc w:val="right"/>
      <w:pPr>
        <w:ind w:left="705" w:hanging="360"/>
      </w:pPr>
      <w:rPr>
        <w:b/>
        <w:bCs/>
      </w:rPr>
    </w:lvl>
    <w:lvl w:ilvl="1" w:tplc="3C090019" w:tentative="1">
      <w:start w:val="1"/>
      <w:numFmt w:val="lowerLetter"/>
      <w:lvlText w:val="%2."/>
      <w:lvlJc w:val="left"/>
      <w:pPr>
        <w:ind w:left="1425" w:hanging="360"/>
      </w:pPr>
    </w:lvl>
    <w:lvl w:ilvl="2" w:tplc="3C09001B" w:tentative="1">
      <w:start w:val="1"/>
      <w:numFmt w:val="lowerRoman"/>
      <w:lvlText w:val="%3."/>
      <w:lvlJc w:val="right"/>
      <w:pPr>
        <w:ind w:left="2145" w:hanging="180"/>
      </w:pPr>
    </w:lvl>
    <w:lvl w:ilvl="3" w:tplc="3C09000F" w:tentative="1">
      <w:start w:val="1"/>
      <w:numFmt w:val="decimal"/>
      <w:lvlText w:val="%4."/>
      <w:lvlJc w:val="left"/>
      <w:pPr>
        <w:ind w:left="2865" w:hanging="360"/>
      </w:pPr>
    </w:lvl>
    <w:lvl w:ilvl="4" w:tplc="3C090019" w:tentative="1">
      <w:start w:val="1"/>
      <w:numFmt w:val="lowerLetter"/>
      <w:lvlText w:val="%5."/>
      <w:lvlJc w:val="left"/>
      <w:pPr>
        <w:ind w:left="3585" w:hanging="360"/>
      </w:pPr>
    </w:lvl>
    <w:lvl w:ilvl="5" w:tplc="3C09001B" w:tentative="1">
      <w:start w:val="1"/>
      <w:numFmt w:val="lowerRoman"/>
      <w:lvlText w:val="%6."/>
      <w:lvlJc w:val="right"/>
      <w:pPr>
        <w:ind w:left="4305" w:hanging="180"/>
      </w:pPr>
    </w:lvl>
    <w:lvl w:ilvl="6" w:tplc="3C09000F" w:tentative="1">
      <w:start w:val="1"/>
      <w:numFmt w:val="decimal"/>
      <w:lvlText w:val="%7."/>
      <w:lvlJc w:val="left"/>
      <w:pPr>
        <w:ind w:left="5025" w:hanging="360"/>
      </w:pPr>
    </w:lvl>
    <w:lvl w:ilvl="7" w:tplc="3C090019" w:tentative="1">
      <w:start w:val="1"/>
      <w:numFmt w:val="lowerLetter"/>
      <w:lvlText w:val="%8."/>
      <w:lvlJc w:val="left"/>
      <w:pPr>
        <w:ind w:left="5745" w:hanging="360"/>
      </w:pPr>
    </w:lvl>
    <w:lvl w:ilvl="8" w:tplc="3C09001B" w:tentative="1">
      <w:start w:val="1"/>
      <w:numFmt w:val="lowerRoman"/>
      <w:lvlText w:val="%9."/>
      <w:lvlJc w:val="right"/>
      <w:pPr>
        <w:ind w:left="6465" w:hanging="180"/>
      </w:pPr>
    </w:lvl>
  </w:abstractNum>
  <w:num w:numId="1" w16cid:durableId="1558543436">
    <w:abstractNumId w:val="2"/>
  </w:num>
  <w:num w:numId="2" w16cid:durableId="232929446">
    <w:abstractNumId w:val="8"/>
  </w:num>
  <w:num w:numId="3" w16cid:durableId="1824660305">
    <w:abstractNumId w:val="3"/>
  </w:num>
  <w:num w:numId="4" w16cid:durableId="1361052237">
    <w:abstractNumId w:val="7"/>
  </w:num>
  <w:num w:numId="5" w16cid:durableId="1266378244">
    <w:abstractNumId w:val="9"/>
  </w:num>
  <w:num w:numId="6" w16cid:durableId="1292128040">
    <w:abstractNumId w:val="5"/>
  </w:num>
  <w:num w:numId="7" w16cid:durableId="1569000818">
    <w:abstractNumId w:val="0"/>
  </w:num>
  <w:num w:numId="8" w16cid:durableId="1152141255">
    <w:abstractNumId w:val="6"/>
  </w:num>
  <w:num w:numId="9" w16cid:durableId="2053384032">
    <w:abstractNumId w:val="1"/>
  </w:num>
  <w:num w:numId="10" w16cid:durableId="663976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85"/>
    <w:rsid w:val="000021D2"/>
    <w:rsid w:val="00011752"/>
    <w:rsid w:val="00011D82"/>
    <w:rsid w:val="00024A1B"/>
    <w:rsid w:val="000257DD"/>
    <w:rsid w:val="000C32C9"/>
    <w:rsid w:val="001019BD"/>
    <w:rsid w:val="00135E72"/>
    <w:rsid w:val="00137907"/>
    <w:rsid w:val="001549D3"/>
    <w:rsid w:val="0017771D"/>
    <w:rsid w:val="0018291E"/>
    <w:rsid w:val="00190DFC"/>
    <w:rsid w:val="0025566B"/>
    <w:rsid w:val="002E1D64"/>
    <w:rsid w:val="00320990"/>
    <w:rsid w:val="00363926"/>
    <w:rsid w:val="003A4F3B"/>
    <w:rsid w:val="003B4C38"/>
    <w:rsid w:val="003C5CD3"/>
    <w:rsid w:val="004107FA"/>
    <w:rsid w:val="0043719A"/>
    <w:rsid w:val="00442151"/>
    <w:rsid w:val="00463982"/>
    <w:rsid w:val="00464103"/>
    <w:rsid w:val="00551621"/>
    <w:rsid w:val="00561D59"/>
    <w:rsid w:val="005A6F05"/>
    <w:rsid w:val="005B29AE"/>
    <w:rsid w:val="005E466B"/>
    <w:rsid w:val="005E558F"/>
    <w:rsid w:val="005F2368"/>
    <w:rsid w:val="005F7BA6"/>
    <w:rsid w:val="00625988"/>
    <w:rsid w:val="00665AF6"/>
    <w:rsid w:val="00693DF9"/>
    <w:rsid w:val="00694CF5"/>
    <w:rsid w:val="006966EC"/>
    <w:rsid w:val="00720185"/>
    <w:rsid w:val="0074081E"/>
    <w:rsid w:val="00751C2C"/>
    <w:rsid w:val="007522E8"/>
    <w:rsid w:val="00764A68"/>
    <w:rsid w:val="0077136C"/>
    <w:rsid w:val="007A72B1"/>
    <w:rsid w:val="007B3D2E"/>
    <w:rsid w:val="007D1B5D"/>
    <w:rsid w:val="007E0C3D"/>
    <w:rsid w:val="00802A5B"/>
    <w:rsid w:val="00806F04"/>
    <w:rsid w:val="00811B5A"/>
    <w:rsid w:val="0082637E"/>
    <w:rsid w:val="00856F42"/>
    <w:rsid w:val="00932A71"/>
    <w:rsid w:val="009567B8"/>
    <w:rsid w:val="00956A67"/>
    <w:rsid w:val="009958CD"/>
    <w:rsid w:val="009B3285"/>
    <w:rsid w:val="009B4A81"/>
    <w:rsid w:val="009E238B"/>
    <w:rsid w:val="009E2D00"/>
    <w:rsid w:val="00A064EB"/>
    <w:rsid w:val="00A41399"/>
    <w:rsid w:val="00A43832"/>
    <w:rsid w:val="00A56326"/>
    <w:rsid w:val="00AC0B1D"/>
    <w:rsid w:val="00AF38F8"/>
    <w:rsid w:val="00B449D6"/>
    <w:rsid w:val="00B71713"/>
    <w:rsid w:val="00BB5D21"/>
    <w:rsid w:val="00BC124F"/>
    <w:rsid w:val="00BC1F73"/>
    <w:rsid w:val="00BC5F39"/>
    <w:rsid w:val="00BD73B8"/>
    <w:rsid w:val="00C330ED"/>
    <w:rsid w:val="00C47676"/>
    <w:rsid w:val="00C745D0"/>
    <w:rsid w:val="00CD11C3"/>
    <w:rsid w:val="00CE1E0F"/>
    <w:rsid w:val="00CE73A4"/>
    <w:rsid w:val="00D044D8"/>
    <w:rsid w:val="00D10056"/>
    <w:rsid w:val="00D11B95"/>
    <w:rsid w:val="00D366E3"/>
    <w:rsid w:val="00D44C7E"/>
    <w:rsid w:val="00D56A6C"/>
    <w:rsid w:val="00D62658"/>
    <w:rsid w:val="00D824B0"/>
    <w:rsid w:val="00D876EF"/>
    <w:rsid w:val="00D93C16"/>
    <w:rsid w:val="00DC6C65"/>
    <w:rsid w:val="00DF5114"/>
    <w:rsid w:val="00E02AA1"/>
    <w:rsid w:val="00EA545D"/>
    <w:rsid w:val="00EB1922"/>
    <w:rsid w:val="00EB4BC9"/>
    <w:rsid w:val="00ED3276"/>
    <w:rsid w:val="00EF6C88"/>
    <w:rsid w:val="00F1264A"/>
    <w:rsid w:val="00F24A7F"/>
    <w:rsid w:val="00F9596D"/>
    <w:rsid w:val="00FD055D"/>
    <w:rsid w:val="00FF576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1B01"/>
  <w15:docId w15:val="{AD098B58-E8DE-4FEB-B481-99EFDC4E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AFE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AFEF"/>
      <w:sz w:val="24"/>
    </w:rPr>
  </w:style>
  <w:style w:type="table" w:styleId="TableGrid">
    <w:name w:val="Table Grid"/>
    <w:basedOn w:val="TableNormal"/>
    <w:uiPriority w:val="39"/>
    <w:rsid w:val="00BC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D00"/>
    <w:rPr>
      <w:rFonts w:ascii="Times New Roman" w:eastAsia="Times New Roman" w:hAnsi="Times New Roman" w:cs="Times New Roman"/>
      <w:color w:val="000000"/>
    </w:rPr>
  </w:style>
  <w:style w:type="paragraph" w:styleId="Footer">
    <w:name w:val="footer"/>
    <w:basedOn w:val="Normal"/>
    <w:link w:val="FooterChar"/>
    <w:uiPriority w:val="99"/>
    <w:unhideWhenUsed/>
    <w:rsid w:val="009E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D00"/>
    <w:rPr>
      <w:rFonts w:ascii="Times New Roman" w:eastAsia="Times New Roman" w:hAnsi="Times New Roman" w:cs="Times New Roman"/>
      <w:color w:val="000000"/>
    </w:rPr>
  </w:style>
  <w:style w:type="paragraph" w:styleId="ListParagraph">
    <w:name w:val="List Paragraph"/>
    <w:basedOn w:val="Normal"/>
    <w:uiPriority w:val="34"/>
    <w:qFormat/>
    <w:rsid w:val="00BC5F39"/>
    <w:pPr>
      <w:ind w:left="720"/>
      <w:contextualSpacing/>
    </w:pPr>
  </w:style>
  <w:style w:type="paragraph" w:styleId="FootnoteText">
    <w:name w:val="footnote text"/>
    <w:basedOn w:val="Normal"/>
    <w:link w:val="FootnoteTextChar"/>
    <w:uiPriority w:val="99"/>
    <w:semiHidden/>
    <w:unhideWhenUsed/>
    <w:rsid w:val="00363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92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63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4</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Law, Ngai Fong [EEE]</cp:lastModifiedBy>
  <cp:revision>80</cp:revision>
  <dcterms:created xsi:type="dcterms:W3CDTF">2025-06-06T07:09:00Z</dcterms:created>
  <dcterms:modified xsi:type="dcterms:W3CDTF">2026-05-27T03:16:00Z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4e5944e8-05b5-4d2a-a7cd-17a6246d459a</vt:lpwstr>
  </property>
</Properties>
</file>